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0" w:rsidRPr="00783300" w:rsidRDefault="00783300" w:rsidP="00783300">
      <w:pPr>
        <w:pStyle w:val="CM2"/>
        <w:ind w:left="1080"/>
        <w:rPr>
          <w:rFonts w:asciiTheme="majorHAnsi" w:hAnsiTheme="majorHAnsi" w:cs="Arial"/>
          <w:color w:val="FFFFFF"/>
          <w:sz w:val="28"/>
          <w:szCs w:val="28"/>
        </w:rPr>
      </w:pPr>
      <w:r w:rsidRPr="0078330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4.25pt;width:35.25pt;height:37.75pt;z-index:-251656192;mso-position-horizontal-relative:text;mso-position-vertical-relative:text;mso-width-relative:page;mso-height-relative:page" wrapcoords="-309 0 -309 21312 21600 21312 21600 0 -309 0">
            <v:imagedata r:id="rId7" o:title="CONSORT logo2"/>
            <w10:wrap type="square"/>
          </v:shape>
        </w:pict>
      </w:r>
      <w:r w:rsidRPr="00783300">
        <w:rPr>
          <w:rFonts w:asciiTheme="majorHAnsi" w:hAnsiTheme="majorHAnsi"/>
          <w:sz w:val="28"/>
          <w:szCs w:val="28"/>
          <w:lang w:val="fr-FR" w:bidi="th-TH"/>
        </w:rPr>
        <w:t>Liste de contrôle</w:t>
      </w:r>
      <w:r w:rsidRPr="00783300">
        <w:rPr>
          <w:rFonts w:asciiTheme="majorHAnsi" w:hAnsiTheme="majorHAnsi"/>
          <w:sz w:val="28"/>
          <w:szCs w:val="28"/>
        </w:rPr>
        <w:t xml:space="preserve"> CONSORT 2010 à </w:t>
      </w:r>
      <w:proofErr w:type="spellStart"/>
      <w:r w:rsidRPr="00783300">
        <w:rPr>
          <w:rFonts w:asciiTheme="majorHAnsi" w:hAnsiTheme="majorHAnsi"/>
          <w:sz w:val="28"/>
          <w:szCs w:val="28"/>
        </w:rPr>
        <w:t>inclure</w:t>
      </w:r>
      <w:proofErr w:type="spellEnd"/>
      <w:r w:rsidRPr="00783300">
        <w:rPr>
          <w:rFonts w:asciiTheme="majorHAnsi" w:hAnsiTheme="majorHAnsi"/>
          <w:sz w:val="28"/>
          <w:szCs w:val="28"/>
        </w:rPr>
        <w:t xml:space="preserve"> pour </w:t>
      </w:r>
      <w:proofErr w:type="spellStart"/>
      <w:r w:rsidRPr="00783300">
        <w:rPr>
          <w:rFonts w:asciiTheme="majorHAnsi" w:hAnsiTheme="majorHAnsi"/>
          <w:sz w:val="28"/>
          <w:szCs w:val="28"/>
        </w:rPr>
        <w:t>rendre</w:t>
      </w:r>
      <w:proofErr w:type="spellEnd"/>
      <w:r w:rsidRPr="00783300">
        <w:rPr>
          <w:rFonts w:asciiTheme="majorHAnsi" w:hAnsiTheme="majorHAnsi"/>
          <w:sz w:val="28"/>
          <w:szCs w:val="28"/>
        </w:rPr>
        <w:t xml:space="preserve"> </w:t>
      </w:r>
      <w:proofErr w:type="spellStart"/>
      <w:r w:rsidRPr="00783300">
        <w:rPr>
          <w:rFonts w:asciiTheme="majorHAnsi" w:hAnsiTheme="majorHAnsi"/>
          <w:sz w:val="28"/>
          <w:szCs w:val="28"/>
        </w:rPr>
        <w:t>compte</w:t>
      </w:r>
      <w:proofErr w:type="spellEnd"/>
      <w:r w:rsidRPr="00783300">
        <w:rPr>
          <w:rFonts w:asciiTheme="majorHAnsi" w:hAnsiTheme="majorHAnsi"/>
          <w:sz w:val="28"/>
          <w:szCs w:val="28"/>
        </w:rPr>
        <w:t xml:space="preserve"> d’un </w:t>
      </w:r>
      <w:proofErr w:type="spellStart"/>
      <w:r w:rsidRPr="00783300">
        <w:rPr>
          <w:rFonts w:asciiTheme="majorHAnsi" w:hAnsiTheme="majorHAnsi"/>
          <w:sz w:val="28"/>
          <w:szCs w:val="28"/>
        </w:rPr>
        <w:t>essai</w:t>
      </w:r>
      <w:proofErr w:type="spellEnd"/>
      <w:r w:rsidRPr="00783300">
        <w:rPr>
          <w:rFonts w:asciiTheme="majorHAnsi" w:hAnsiTheme="majorHAnsi"/>
          <w:sz w:val="28"/>
          <w:szCs w:val="28"/>
        </w:rPr>
        <w:t xml:space="preserve"> </w:t>
      </w:r>
      <w:proofErr w:type="spellStart"/>
      <w:r w:rsidRPr="00783300">
        <w:rPr>
          <w:rFonts w:asciiTheme="majorHAnsi" w:hAnsiTheme="majorHAnsi"/>
          <w:sz w:val="28"/>
          <w:szCs w:val="28"/>
        </w:rPr>
        <w:t>randomisé</w:t>
      </w:r>
      <w:proofErr w:type="spellEnd"/>
      <w:r w:rsidRPr="00783300">
        <w:rPr>
          <w:rFonts w:asciiTheme="majorHAnsi" w:hAnsiTheme="majorHAnsi"/>
          <w:sz w:val="28"/>
          <w:szCs w:val="28"/>
        </w:rPr>
        <w:t>*</w:t>
      </w:r>
    </w:p>
    <w:tbl>
      <w:tblPr>
        <w:tblW w:w="4929" w:type="pct"/>
        <w:tblInd w:w="110" w:type="dxa"/>
        <w:tblBorders>
          <w:top w:val="nil"/>
          <w:left w:val="nil"/>
          <w:bottom w:val="nil"/>
          <w:right w:val="nil"/>
        </w:tblBorders>
        <w:tblLook w:val="0000"/>
      </w:tblPr>
      <w:tblGrid>
        <w:gridCol w:w="2420"/>
        <w:gridCol w:w="732"/>
        <w:gridCol w:w="11516"/>
        <w:gridCol w:w="720"/>
      </w:tblGrid>
      <w:tr w:rsidR="00783300" w:rsidRPr="00EC2ADB" w:rsidTr="0093132E">
        <w:tblPrEx>
          <w:tblCellMar>
            <w:top w:w="0" w:type="dxa"/>
            <w:bottom w:w="0" w:type="dxa"/>
          </w:tblCellMar>
        </w:tblPrEx>
        <w:trPr>
          <w:trHeight w:val="432"/>
          <w:tblHeader/>
        </w:trPr>
        <w:tc>
          <w:tcPr>
            <w:tcW w:w="786" w:type="pct"/>
            <w:tcBorders>
              <w:top w:val="double" w:sz="6" w:space="0" w:color="000000"/>
              <w:left w:val="single" w:sz="6" w:space="0" w:color="000000"/>
              <w:bottom w:val="double" w:sz="6" w:space="0" w:color="000000"/>
              <w:right w:val="single" w:sz="6" w:space="0" w:color="000000"/>
            </w:tcBorders>
            <w:shd w:val="clear" w:color="auto" w:fill="8DB3E2" w:themeFill="text2" w:themeFillTint="66"/>
            <w:vAlign w:val="center"/>
          </w:tcPr>
          <w:p w:rsidR="00783300" w:rsidRPr="00EC2ADB" w:rsidRDefault="00783300" w:rsidP="00783300">
            <w:pPr>
              <w:pStyle w:val="Default"/>
              <w:rPr>
                <w:rFonts w:ascii="Arial" w:hAnsi="Arial" w:cs="Arial"/>
                <w:color w:val="FFFFFF"/>
                <w:sz w:val="19"/>
                <w:szCs w:val="19"/>
              </w:rPr>
            </w:pPr>
            <w:r w:rsidRPr="00EC2ADB">
              <w:rPr>
                <w:rFonts w:ascii="Arial" w:hAnsi="Arial" w:cs="Arial"/>
                <w:b/>
                <w:bCs/>
                <w:color w:val="FFFFFF"/>
                <w:sz w:val="19"/>
                <w:szCs w:val="19"/>
              </w:rPr>
              <w:t>Section/</w:t>
            </w:r>
            <w:proofErr w:type="spellStart"/>
            <w:r w:rsidRPr="00EC2ADB">
              <w:rPr>
                <w:rFonts w:ascii="Arial" w:hAnsi="Arial" w:cs="Arial"/>
                <w:b/>
                <w:bCs/>
                <w:color w:val="FFFFFF"/>
                <w:sz w:val="19"/>
                <w:szCs w:val="19"/>
              </w:rPr>
              <w:t>sujet</w:t>
            </w:r>
            <w:proofErr w:type="spellEnd"/>
          </w:p>
        </w:tc>
        <w:tc>
          <w:tcPr>
            <w:tcW w:w="238" w:type="pct"/>
            <w:tcBorders>
              <w:top w:val="double" w:sz="6" w:space="0" w:color="000000"/>
              <w:left w:val="single" w:sz="6" w:space="0" w:color="000000"/>
              <w:bottom w:val="double" w:sz="6" w:space="0" w:color="000000"/>
              <w:right w:val="single" w:sz="6" w:space="0" w:color="000000"/>
            </w:tcBorders>
            <w:shd w:val="clear" w:color="auto" w:fill="8DB3E2" w:themeFill="text2" w:themeFillTint="66"/>
            <w:vAlign w:val="center"/>
          </w:tcPr>
          <w:p w:rsidR="00783300" w:rsidRPr="00EC2ADB" w:rsidRDefault="00783300" w:rsidP="00783300">
            <w:pPr>
              <w:pStyle w:val="Default"/>
              <w:jc w:val="center"/>
              <w:rPr>
                <w:rFonts w:ascii="Arial" w:hAnsi="Arial" w:cs="Arial"/>
                <w:b/>
                <w:bCs/>
                <w:color w:val="FFFFFF"/>
                <w:sz w:val="19"/>
                <w:szCs w:val="19"/>
              </w:rPr>
            </w:pPr>
            <w:r w:rsidRPr="00EC2ADB">
              <w:rPr>
                <w:rFonts w:ascii="Arial" w:hAnsi="Arial" w:cs="Arial"/>
                <w:b/>
                <w:bCs/>
                <w:color w:val="FFFFFF"/>
                <w:sz w:val="19"/>
                <w:szCs w:val="19"/>
              </w:rPr>
              <w:t>Item N°</w:t>
            </w:r>
          </w:p>
        </w:tc>
        <w:tc>
          <w:tcPr>
            <w:tcW w:w="3742" w:type="pct"/>
            <w:tcBorders>
              <w:top w:val="double" w:sz="6" w:space="0" w:color="000000"/>
              <w:left w:val="single" w:sz="6" w:space="0" w:color="000000"/>
              <w:bottom w:val="double" w:sz="6" w:space="0" w:color="000000"/>
              <w:right w:val="single" w:sz="6" w:space="0" w:color="000000"/>
            </w:tcBorders>
            <w:shd w:val="clear" w:color="auto" w:fill="8DB3E2" w:themeFill="text2" w:themeFillTint="66"/>
            <w:vAlign w:val="center"/>
          </w:tcPr>
          <w:p w:rsidR="00783300" w:rsidRPr="00EC2ADB" w:rsidRDefault="00783300" w:rsidP="00783300">
            <w:pPr>
              <w:pStyle w:val="Default"/>
              <w:rPr>
                <w:rFonts w:ascii="Arial" w:hAnsi="Arial" w:cs="Arial"/>
                <w:color w:val="FFFFFF"/>
                <w:sz w:val="19"/>
                <w:szCs w:val="19"/>
                <w:lang w:val="fr-FR"/>
              </w:rPr>
            </w:pPr>
            <w:r w:rsidRPr="00EC2ADB">
              <w:rPr>
                <w:rFonts w:ascii="Arial" w:hAnsi="Arial" w:cs="Arial"/>
                <w:b/>
                <w:bCs/>
                <w:color w:val="FFFFFF"/>
                <w:sz w:val="19"/>
                <w:szCs w:val="19"/>
                <w:lang w:val="fr-FR"/>
              </w:rPr>
              <w:t>DESCRIPTION</w:t>
            </w:r>
          </w:p>
        </w:tc>
        <w:tc>
          <w:tcPr>
            <w:tcW w:w="234" w:type="pct"/>
            <w:tcBorders>
              <w:top w:val="double" w:sz="6" w:space="0" w:color="000000"/>
              <w:left w:val="single" w:sz="6" w:space="0" w:color="000000"/>
              <w:bottom w:val="double" w:sz="6" w:space="0" w:color="000000"/>
              <w:right w:val="single" w:sz="6" w:space="0" w:color="000000"/>
            </w:tcBorders>
            <w:shd w:val="clear" w:color="auto" w:fill="8DB3E2" w:themeFill="text2" w:themeFillTint="66"/>
            <w:vAlign w:val="center"/>
          </w:tcPr>
          <w:p w:rsidR="00783300" w:rsidRPr="00EC2ADB" w:rsidRDefault="00783300" w:rsidP="00783300">
            <w:pPr>
              <w:pStyle w:val="Default"/>
              <w:jc w:val="center"/>
              <w:rPr>
                <w:rFonts w:ascii="Arial" w:hAnsi="Arial" w:cs="Arial"/>
                <w:color w:val="FFFFFF"/>
                <w:sz w:val="19"/>
                <w:szCs w:val="19"/>
              </w:rPr>
            </w:pPr>
            <w:r w:rsidRPr="00EC2ADB">
              <w:rPr>
                <w:rFonts w:ascii="Arial" w:hAnsi="Arial" w:cs="Arial"/>
                <w:b/>
                <w:bCs/>
                <w:color w:val="FFFFFF"/>
                <w:sz w:val="19"/>
                <w:szCs w:val="19"/>
              </w:rPr>
              <w:t>Page N°</w:t>
            </w:r>
          </w:p>
        </w:tc>
      </w:tr>
      <w:tr w:rsidR="00783300" w:rsidRPr="00EC2ADB" w:rsidTr="0093132E">
        <w:tblPrEx>
          <w:tblCellMar>
            <w:top w:w="0" w:type="dxa"/>
            <w:bottom w:w="0" w:type="dxa"/>
          </w:tblCellMar>
        </w:tblPrEx>
        <w:trPr>
          <w:trHeight w:val="99"/>
        </w:trPr>
        <w:tc>
          <w:tcPr>
            <w:tcW w:w="4766" w:type="pct"/>
            <w:gridSpan w:val="3"/>
            <w:tcBorders>
              <w:top w:val="double" w:sz="6" w:space="0" w:color="000000"/>
              <w:left w:val="single" w:sz="5" w:space="0" w:color="000000"/>
              <w:bottom w:val="single" w:sz="5" w:space="0" w:color="000000"/>
              <w:right w:val="single" w:sz="5" w:space="0" w:color="000000"/>
            </w:tcBorders>
            <w:shd w:val="clear" w:color="auto" w:fill="auto"/>
            <w:vAlign w:val="center"/>
          </w:tcPr>
          <w:p w:rsidR="00783300" w:rsidRPr="00EC2ADB" w:rsidRDefault="00783300" w:rsidP="00783300">
            <w:pPr>
              <w:pStyle w:val="Default"/>
              <w:rPr>
                <w:rFonts w:ascii="Arial" w:hAnsi="Arial" w:cs="Arial"/>
                <w:sz w:val="19"/>
                <w:szCs w:val="19"/>
              </w:rPr>
            </w:pPr>
            <w:r w:rsidRPr="00EC2ADB">
              <w:rPr>
                <w:rFonts w:ascii="Arial" w:hAnsi="Arial" w:cs="Arial"/>
                <w:b/>
                <w:bCs/>
                <w:sz w:val="19"/>
                <w:szCs w:val="19"/>
              </w:rPr>
              <w:t>TITRE &amp; RESUME</w:t>
            </w:r>
          </w:p>
        </w:tc>
        <w:tc>
          <w:tcPr>
            <w:tcW w:w="234" w:type="pct"/>
            <w:tcBorders>
              <w:top w:val="double" w:sz="6" w:space="0" w:color="000000"/>
              <w:left w:val="single" w:sz="5" w:space="0" w:color="000000"/>
              <w:bottom w:val="single" w:sz="5" w:space="0" w:color="000000"/>
              <w:right w:val="single" w:sz="5" w:space="0" w:color="000000"/>
            </w:tcBorders>
            <w:shd w:val="clear" w:color="auto" w:fill="auto"/>
          </w:tcPr>
          <w:p w:rsidR="00783300" w:rsidRPr="00EC2ADB" w:rsidRDefault="00783300">
            <w:pPr>
              <w:pStyle w:val="Default"/>
              <w:jc w:val="right"/>
              <w:rPr>
                <w:rFonts w:ascii="Arial" w:hAnsi="Arial" w:cs="Arial"/>
                <w:color w:val="auto"/>
                <w:sz w:val="19"/>
                <w:szCs w:val="19"/>
              </w:rPr>
            </w:pPr>
          </w:p>
        </w:tc>
      </w:tr>
      <w:tr w:rsidR="0093132E" w:rsidRPr="00EC2ADB" w:rsidTr="0093132E">
        <w:tblPrEx>
          <w:tblCellMar>
            <w:top w:w="0" w:type="dxa"/>
            <w:bottom w:w="0" w:type="dxa"/>
          </w:tblCellMar>
        </w:tblPrEx>
        <w:trPr>
          <w:trHeight w:val="65"/>
        </w:trPr>
        <w:tc>
          <w:tcPr>
            <w:tcW w:w="786" w:type="pct"/>
            <w:vMerge w:val="restart"/>
            <w:tcBorders>
              <w:top w:val="single" w:sz="6" w:space="0" w:color="000000"/>
              <w:left w:val="single" w:sz="6" w:space="0" w:color="000000"/>
              <w:right w:val="single" w:sz="6" w:space="0" w:color="000000"/>
            </w:tcBorders>
          </w:tcPr>
          <w:p w:rsidR="0093132E" w:rsidRPr="00EC2ADB" w:rsidRDefault="0093132E" w:rsidP="00783300">
            <w:pPr>
              <w:pStyle w:val="Default"/>
              <w:spacing w:before="40" w:after="40"/>
              <w:rPr>
                <w:rFonts w:ascii="Arial" w:hAnsi="Arial" w:cs="Arial"/>
                <w:sz w:val="19"/>
                <w:szCs w:val="19"/>
              </w:rPr>
            </w:pPr>
          </w:p>
        </w:tc>
        <w:tc>
          <w:tcPr>
            <w:tcW w:w="238" w:type="pct"/>
            <w:tcBorders>
              <w:top w:val="single" w:sz="6" w:space="0" w:color="000000"/>
              <w:left w:val="single" w:sz="6"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1a</w:t>
            </w:r>
          </w:p>
        </w:tc>
        <w:tc>
          <w:tcPr>
            <w:tcW w:w="3742" w:type="pct"/>
            <w:tcBorders>
              <w:top w:val="single" w:sz="4" w:space="0" w:color="000000"/>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rPr>
            </w:pPr>
            <w:r w:rsidRPr="00EC2ADB">
              <w:rPr>
                <w:rFonts w:ascii="Arial" w:hAnsi="Arial" w:cs="Arial"/>
                <w:sz w:val="19"/>
                <w:szCs w:val="19"/>
                <w:lang w:val="fr-FR"/>
              </w:rPr>
              <w:t>Identification en tant qu’ “essai randomisé“ dans le titre</w:t>
            </w:r>
          </w:p>
        </w:tc>
        <w:tc>
          <w:tcPr>
            <w:tcW w:w="234" w:type="pct"/>
            <w:tcBorders>
              <w:top w:val="single" w:sz="4" w:space="0" w:color="000000"/>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lang w:val="fr-FR"/>
              </w:rPr>
            </w:pPr>
          </w:p>
        </w:tc>
      </w:tr>
      <w:tr w:rsidR="0093132E" w:rsidRPr="00EC2ADB" w:rsidTr="0093132E">
        <w:tblPrEx>
          <w:tblCellMar>
            <w:top w:w="0" w:type="dxa"/>
            <w:bottom w:w="0" w:type="dxa"/>
          </w:tblCellMar>
        </w:tblPrEx>
        <w:trPr>
          <w:trHeight w:val="70"/>
        </w:trPr>
        <w:tc>
          <w:tcPr>
            <w:tcW w:w="786" w:type="pct"/>
            <w:vMerge/>
            <w:tcBorders>
              <w:left w:val="single" w:sz="6" w:space="0" w:color="000000"/>
              <w:bottom w:val="nil"/>
              <w:right w:val="single" w:sz="6" w:space="0" w:color="000000"/>
            </w:tcBorders>
          </w:tcPr>
          <w:p w:rsidR="0093132E" w:rsidRPr="00EC2ADB" w:rsidRDefault="0093132E" w:rsidP="00783300">
            <w:pPr>
              <w:pStyle w:val="Default"/>
              <w:spacing w:before="40" w:after="40"/>
              <w:rPr>
                <w:rFonts w:ascii="Arial" w:hAnsi="Arial" w:cs="Arial"/>
                <w:sz w:val="19"/>
                <w:szCs w:val="19"/>
              </w:rPr>
            </w:pPr>
          </w:p>
        </w:tc>
        <w:tc>
          <w:tcPr>
            <w:tcW w:w="238" w:type="pct"/>
            <w:tcBorders>
              <w:top w:val="nil"/>
              <w:left w:val="single" w:sz="6"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1b</w:t>
            </w:r>
          </w:p>
        </w:tc>
        <w:tc>
          <w:tcPr>
            <w:tcW w:w="3742"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rPr>
            </w:pPr>
            <w:r w:rsidRPr="00EC2ADB">
              <w:rPr>
                <w:rFonts w:ascii="Arial" w:hAnsi="Arial" w:cs="Arial"/>
                <w:sz w:val="19"/>
                <w:szCs w:val="19"/>
                <w:lang w:val="fr-FR"/>
              </w:rPr>
              <w:t>Résumé structuré du plan d’essai, méthodes, résultats et conclusions (pour une aide spécifique voir CONSORT pour Abstract)</w:t>
            </w:r>
          </w:p>
        </w:tc>
        <w:tc>
          <w:tcPr>
            <w:tcW w:w="234"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lang w:val="fr-FR"/>
              </w:rPr>
            </w:pPr>
          </w:p>
        </w:tc>
      </w:tr>
      <w:tr w:rsidR="00783300" w:rsidRPr="00EC2ADB" w:rsidTr="0093132E">
        <w:tblPrEx>
          <w:tblCellMar>
            <w:top w:w="0" w:type="dxa"/>
            <w:bottom w:w="0" w:type="dxa"/>
          </w:tblCellMar>
        </w:tblPrEx>
        <w:trPr>
          <w:trHeight w:val="44"/>
        </w:trPr>
        <w:tc>
          <w:tcPr>
            <w:tcW w:w="4766" w:type="pct"/>
            <w:gridSpan w:val="3"/>
            <w:tcBorders>
              <w:top w:val="double" w:sz="5" w:space="0" w:color="000000"/>
              <w:left w:val="single" w:sz="5" w:space="0" w:color="000000"/>
              <w:bottom w:val="single" w:sz="5" w:space="0" w:color="000000"/>
              <w:right w:val="single" w:sz="5" w:space="0" w:color="000000"/>
            </w:tcBorders>
            <w:shd w:val="clear" w:color="auto" w:fill="auto"/>
            <w:vAlign w:val="center"/>
          </w:tcPr>
          <w:p w:rsidR="00783300" w:rsidRPr="00EC2ADB" w:rsidRDefault="00783300" w:rsidP="00783300">
            <w:pPr>
              <w:pStyle w:val="Default"/>
              <w:rPr>
                <w:rFonts w:ascii="Arial" w:hAnsi="Arial" w:cs="Arial"/>
                <w:sz w:val="19"/>
                <w:szCs w:val="19"/>
              </w:rPr>
            </w:pPr>
            <w:r w:rsidRPr="00EC2ADB">
              <w:rPr>
                <w:rFonts w:ascii="Arial" w:hAnsi="Arial" w:cs="Arial"/>
                <w:b/>
                <w:bCs/>
                <w:sz w:val="19"/>
                <w:szCs w:val="19"/>
              </w:rPr>
              <w:t>INTRODUCTION</w:t>
            </w:r>
          </w:p>
        </w:tc>
        <w:tc>
          <w:tcPr>
            <w:tcW w:w="234" w:type="pct"/>
            <w:tcBorders>
              <w:top w:val="double" w:sz="5" w:space="0" w:color="000000"/>
              <w:left w:val="single" w:sz="5" w:space="0" w:color="000000"/>
              <w:bottom w:val="single" w:sz="5" w:space="0" w:color="000000"/>
              <w:right w:val="single" w:sz="5" w:space="0" w:color="000000"/>
            </w:tcBorders>
            <w:shd w:val="clear" w:color="auto" w:fill="auto"/>
          </w:tcPr>
          <w:p w:rsidR="00783300" w:rsidRPr="00EC2ADB" w:rsidRDefault="00783300">
            <w:pPr>
              <w:pStyle w:val="Default"/>
              <w:jc w:val="right"/>
              <w:rPr>
                <w:rFonts w:ascii="Arial" w:hAnsi="Arial" w:cs="Arial"/>
                <w:color w:val="auto"/>
                <w:sz w:val="19"/>
                <w:szCs w:val="19"/>
              </w:rPr>
            </w:pPr>
          </w:p>
        </w:tc>
      </w:tr>
      <w:tr w:rsidR="0093132E" w:rsidRPr="00EC2ADB" w:rsidTr="0093132E">
        <w:tblPrEx>
          <w:tblCellMar>
            <w:top w:w="0" w:type="dxa"/>
            <w:bottom w:w="0" w:type="dxa"/>
          </w:tblCellMar>
        </w:tblPrEx>
        <w:trPr>
          <w:trHeight w:val="65"/>
        </w:trPr>
        <w:tc>
          <w:tcPr>
            <w:tcW w:w="786" w:type="pct"/>
            <w:vMerge w:val="restart"/>
            <w:tcBorders>
              <w:top w:val="single" w:sz="6" w:space="0" w:color="000000"/>
              <w:left w:val="single" w:sz="6" w:space="0" w:color="000000"/>
              <w:right w:val="single" w:sz="6" w:space="0" w:color="000000"/>
            </w:tcBorders>
          </w:tcPr>
          <w:p w:rsidR="0093132E" w:rsidRPr="00EC2ADB" w:rsidRDefault="0093132E" w:rsidP="00783300">
            <w:pPr>
              <w:pStyle w:val="Default"/>
              <w:spacing w:before="40" w:after="40"/>
              <w:rPr>
                <w:rFonts w:ascii="Arial" w:hAnsi="Arial" w:cs="Arial"/>
                <w:sz w:val="19"/>
                <w:szCs w:val="19"/>
              </w:rPr>
            </w:pPr>
            <w:r w:rsidRPr="00EC2ADB">
              <w:rPr>
                <w:rFonts w:ascii="Arial" w:hAnsi="Arial" w:cs="Arial"/>
                <w:sz w:val="19"/>
                <w:szCs w:val="19"/>
                <w:lang w:val="fr-FR" w:eastAsia="en-US" w:bidi="th-TH"/>
              </w:rPr>
              <w:t>Contexte et objectifs</w:t>
            </w:r>
          </w:p>
        </w:tc>
        <w:tc>
          <w:tcPr>
            <w:tcW w:w="238" w:type="pct"/>
            <w:tcBorders>
              <w:top w:val="single" w:sz="6" w:space="0" w:color="000000"/>
              <w:left w:val="single" w:sz="6"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2a</w:t>
            </w:r>
          </w:p>
        </w:tc>
        <w:tc>
          <w:tcPr>
            <w:tcW w:w="3742" w:type="pct"/>
            <w:tcBorders>
              <w:top w:val="single" w:sz="4" w:space="0" w:color="000000"/>
              <w:left w:val="single" w:sz="4" w:space="0" w:color="000000"/>
              <w:bottom w:val="single" w:sz="4" w:space="0" w:color="auto"/>
              <w:right w:val="single" w:sz="4" w:space="0" w:color="000000"/>
            </w:tcBorders>
          </w:tcPr>
          <w:p w:rsidR="0093132E" w:rsidRPr="00EC2ADB" w:rsidRDefault="0093132E" w:rsidP="00783300">
            <w:pPr>
              <w:widowControl w:val="0"/>
              <w:rPr>
                <w:rFonts w:ascii="Arial" w:hAnsi="Arial" w:cs="Arial"/>
                <w:sz w:val="19"/>
                <w:szCs w:val="19"/>
              </w:rPr>
            </w:pPr>
            <w:r w:rsidRPr="00EC2ADB">
              <w:rPr>
                <w:rFonts w:ascii="Arial" w:hAnsi="Arial" w:cs="Arial"/>
                <w:sz w:val="19"/>
                <w:szCs w:val="19"/>
              </w:rPr>
              <w:t>Contexte scientifique et explication du bien-fondé</w:t>
            </w:r>
          </w:p>
        </w:tc>
        <w:tc>
          <w:tcPr>
            <w:tcW w:w="234" w:type="pct"/>
            <w:tcBorders>
              <w:top w:val="single" w:sz="4" w:space="0" w:color="000000"/>
              <w:left w:val="single" w:sz="4" w:space="0" w:color="000000"/>
              <w:bottom w:val="single" w:sz="4" w:space="0" w:color="auto"/>
              <w:right w:val="single" w:sz="4" w:space="0" w:color="000000"/>
            </w:tcBorders>
          </w:tcPr>
          <w:p w:rsidR="0093132E" w:rsidRPr="00EC2ADB" w:rsidRDefault="0093132E" w:rsidP="00783300">
            <w:pPr>
              <w:tabs>
                <w:tab w:val="left" w:pos="507"/>
              </w:tabs>
              <w:rPr>
                <w:rFonts w:ascii="Arial" w:hAnsi="Arial" w:cs="Arial"/>
                <w:sz w:val="19"/>
                <w:szCs w:val="19"/>
              </w:rPr>
            </w:pPr>
          </w:p>
        </w:tc>
      </w:tr>
      <w:tr w:rsidR="0093132E" w:rsidRPr="00EC2ADB" w:rsidTr="0093132E">
        <w:tblPrEx>
          <w:tblCellMar>
            <w:top w:w="0" w:type="dxa"/>
            <w:bottom w:w="0" w:type="dxa"/>
          </w:tblCellMar>
        </w:tblPrEx>
        <w:trPr>
          <w:trHeight w:val="68"/>
        </w:trPr>
        <w:tc>
          <w:tcPr>
            <w:tcW w:w="786" w:type="pct"/>
            <w:vMerge/>
            <w:tcBorders>
              <w:left w:val="single" w:sz="6" w:space="0" w:color="000000"/>
              <w:bottom w:val="double" w:sz="2" w:space="0" w:color="FFFFCC"/>
              <w:right w:val="single" w:sz="6" w:space="0" w:color="000000"/>
            </w:tcBorders>
          </w:tcPr>
          <w:p w:rsidR="0093132E" w:rsidRPr="00EC2ADB" w:rsidRDefault="0093132E" w:rsidP="00783300">
            <w:pPr>
              <w:rPr>
                <w:rFonts w:ascii="Arial" w:hAnsi="Arial" w:cs="Arial"/>
                <w:sz w:val="19"/>
                <w:szCs w:val="19"/>
              </w:rPr>
            </w:pPr>
          </w:p>
        </w:tc>
        <w:tc>
          <w:tcPr>
            <w:tcW w:w="238" w:type="pct"/>
            <w:tcBorders>
              <w:top w:val="single" w:sz="5" w:space="0" w:color="000000"/>
              <w:left w:val="single" w:sz="6" w:space="0" w:color="000000"/>
              <w:bottom w:val="double" w:sz="2" w:space="0" w:color="FFFFCC"/>
              <w:right w:val="single" w:sz="5"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2b</w:t>
            </w:r>
          </w:p>
        </w:tc>
        <w:tc>
          <w:tcPr>
            <w:tcW w:w="3742" w:type="pct"/>
            <w:tcBorders>
              <w:top w:val="single" w:sz="5" w:space="0" w:color="000000"/>
              <w:left w:val="single" w:sz="5" w:space="0" w:color="000000"/>
              <w:bottom w:val="double" w:sz="5" w:space="0" w:color="000000"/>
              <w:right w:val="single" w:sz="5" w:space="0" w:color="000000"/>
            </w:tcBorders>
          </w:tcPr>
          <w:p w:rsidR="0093132E" w:rsidRPr="00EC2ADB" w:rsidRDefault="0093132E" w:rsidP="00783300">
            <w:pPr>
              <w:widowControl w:val="0"/>
              <w:rPr>
                <w:rFonts w:ascii="Arial" w:hAnsi="Arial" w:cs="Arial"/>
                <w:sz w:val="19"/>
                <w:szCs w:val="19"/>
              </w:rPr>
            </w:pPr>
            <w:r w:rsidRPr="00EC2ADB">
              <w:rPr>
                <w:rFonts w:ascii="Arial" w:hAnsi="Arial" w:cs="Arial"/>
                <w:sz w:val="19"/>
                <w:szCs w:val="19"/>
              </w:rPr>
              <w:t>Objectifs spécifiques et hypothèses</w:t>
            </w:r>
          </w:p>
        </w:tc>
        <w:tc>
          <w:tcPr>
            <w:tcW w:w="234" w:type="pct"/>
            <w:tcBorders>
              <w:top w:val="single" w:sz="5" w:space="0" w:color="000000"/>
              <w:left w:val="single" w:sz="5" w:space="0" w:color="000000"/>
              <w:bottom w:val="double" w:sz="5" w:space="0" w:color="000000"/>
              <w:right w:val="single" w:sz="5" w:space="0" w:color="000000"/>
            </w:tcBorders>
          </w:tcPr>
          <w:p w:rsidR="0093132E" w:rsidRPr="00EC2ADB" w:rsidRDefault="0093132E" w:rsidP="00783300">
            <w:pPr>
              <w:tabs>
                <w:tab w:val="left" w:pos="507"/>
              </w:tabs>
              <w:rPr>
                <w:rFonts w:ascii="Arial" w:hAnsi="Arial" w:cs="Arial"/>
                <w:sz w:val="19"/>
                <w:szCs w:val="19"/>
              </w:rPr>
            </w:pPr>
          </w:p>
        </w:tc>
      </w:tr>
      <w:tr w:rsidR="00783300" w:rsidRPr="00EC2ADB" w:rsidTr="0093132E">
        <w:tblPrEx>
          <w:tblCellMar>
            <w:top w:w="0" w:type="dxa"/>
            <w:bottom w:w="0" w:type="dxa"/>
          </w:tblCellMar>
        </w:tblPrEx>
        <w:trPr>
          <w:trHeight w:val="81"/>
        </w:trPr>
        <w:tc>
          <w:tcPr>
            <w:tcW w:w="4766" w:type="pct"/>
            <w:gridSpan w:val="3"/>
            <w:tcBorders>
              <w:top w:val="double" w:sz="5" w:space="0" w:color="000000"/>
              <w:left w:val="single" w:sz="5" w:space="0" w:color="000000"/>
              <w:bottom w:val="single" w:sz="5" w:space="0" w:color="000000"/>
              <w:right w:val="single" w:sz="5" w:space="0" w:color="000000"/>
            </w:tcBorders>
            <w:shd w:val="clear" w:color="auto" w:fill="auto"/>
            <w:vAlign w:val="center"/>
          </w:tcPr>
          <w:p w:rsidR="00783300" w:rsidRPr="00EC2ADB" w:rsidRDefault="00783300" w:rsidP="00783300">
            <w:pPr>
              <w:pStyle w:val="Default"/>
              <w:rPr>
                <w:rFonts w:ascii="Arial" w:hAnsi="Arial" w:cs="Arial"/>
                <w:sz w:val="19"/>
                <w:szCs w:val="19"/>
              </w:rPr>
            </w:pPr>
            <w:r w:rsidRPr="00EC2ADB">
              <w:rPr>
                <w:rFonts w:ascii="Arial" w:hAnsi="Arial" w:cs="Arial"/>
                <w:b/>
                <w:bCs/>
                <w:sz w:val="19"/>
                <w:szCs w:val="19"/>
                <w:lang w:val="fr-FR" w:eastAsia="en-US" w:bidi="th-TH"/>
              </w:rPr>
              <w:t>MÉTHODES</w:t>
            </w:r>
          </w:p>
        </w:tc>
        <w:tc>
          <w:tcPr>
            <w:tcW w:w="234" w:type="pct"/>
            <w:tcBorders>
              <w:top w:val="double" w:sz="5" w:space="0" w:color="000000"/>
              <w:left w:val="single" w:sz="5" w:space="0" w:color="000000"/>
              <w:bottom w:val="single" w:sz="5" w:space="0" w:color="000000"/>
              <w:right w:val="single" w:sz="5" w:space="0" w:color="000000"/>
            </w:tcBorders>
            <w:shd w:val="clear" w:color="auto" w:fill="auto"/>
          </w:tcPr>
          <w:p w:rsidR="00783300" w:rsidRPr="00EC2ADB" w:rsidRDefault="00783300">
            <w:pPr>
              <w:pStyle w:val="Default"/>
              <w:jc w:val="right"/>
              <w:rPr>
                <w:rFonts w:ascii="Arial" w:hAnsi="Arial" w:cs="Arial"/>
                <w:color w:val="auto"/>
                <w:sz w:val="19"/>
                <w:szCs w:val="19"/>
              </w:rPr>
            </w:pPr>
          </w:p>
        </w:tc>
      </w:tr>
      <w:tr w:rsidR="0093132E" w:rsidRPr="00EC2ADB" w:rsidTr="0093132E">
        <w:tblPrEx>
          <w:tblCellMar>
            <w:top w:w="0" w:type="dxa"/>
            <w:bottom w:w="0" w:type="dxa"/>
          </w:tblCellMar>
        </w:tblPrEx>
        <w:trPr>
          <w:trHeight w:val="68"/>
        </w:trPr>
        <w:tc>
          <w:tcPr>
            <w:tcW w:w="786" w:type="pct"/>
            <w:vMerge w:val="restart"/>
            <w:tcBorders>
              <w:top w:val="single" w:sz="4" w:space="0" w:color="auto"/>
              <w:left w:val="single" w:sz="4" w:space="0" w:color="000000"/>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rPr>
            </w:pPr>
            <w:r w:rsidRPr="00EC2ADB">
              <w:rPr>
                <w:rFonts w:ascii="Arial" w:hAnsi="Arial" w:cs="Arial"/>
                <w:color w:val="auto"/>
                <w:sz w:val="19"/>
                <w:szCs w:val="19"/>
              </w:rPr>
              <w:t xml:space="preserve">Plan de </w:t>
            </w:r>
            <w:proofErr w:type="spellStart"/>
            <w:r w:rsidRPr="00EC2ADB">
              <w:rPr>
                <w:rFonts w:ascii="Arial" w:hAnsi="Arial" w:cs="Arial"/>
                <w:color w:val="auto"/>
                <w:sz w:val="19"/>
                <w:szCs w:val="19"/>
              </w:rPr>
              <w:t>l’essai</w:t>
            </w:r>
            <w:proofErr w:type="spellEnd"/>
          </w:p>
        </w:tc>
        <w:tc>
          <w:tcPr>
            <w:tcW w:w="238" w:type="pct"/>
            <w:tcBorders>
              <w:top w:val="single" w:sz="4" w:space="0" w:color="auto"/>
              <w:left w:val="single" w:sz="4"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3a</w:t>
            </w:r>
          </w:p>
        </w:tc>
        <w:tc>
          <w:tcPr>
            <w:tcW w:w="3742" w:type="pct"/>
            <w:tcBorders>
              <w:top w:val="single" w:sz="5" w:space="0" w:color="000000"/>
              <w:left w:val="single" w:sz="4" w:space="0" w:color="000000"/>
              <w:bottom w:val="single" w:sz="4"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lang w:val="fr-FR"/>
              </w:rPr>
            </w:pPr>
            <w:r w:rsidRPr="00EC2ADB">
              <w:rPr>
                <w:rFonts w:ascii="Arial" w:hAnsi="Arial" w:cs="Arial"/>
                <w:color w:val="auto"/>
                <w:sz w:val="19"/>
                <w:szCs w:val="19"/>
                <w:lang w:val="fr-FR"/>
              </w:rPr>
              <w:t>Description du plan de l’essai (tel que : groupes parallèles, plan factoriel) en incluant les ratios d’allocation</w:t>
            </w:r>
          </w:p>
        </w:tc>
        <w:tc>
          <w:tcPr>
            <w:tcW w:w="234" w:type="pct"/>
            <w:tcBorders>
              <w:top w:val="single" w:sz="5" w:space="0" w:color="000000"/>
              <w:left w:val="single" w:sz="5" w:space="0" w:color="000000"/>
              <w:bottom w:val="single" w:sz="4"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70"/>
        </w:trPr>
        <w:tc>
          <w:tcPr>
            <w:tcW w:w="786" w:type="pct"/>
            <w:vMerge/>
            <w:tcBorders>
              <w:left w:val="single" w:sz="4" w:space="0" w:color="000000"/>
              <w:bottom w:val="single" w:sz="6" w:space="0" w:color="000000"/>
              <w:right w:val="single" w:sz="4" w:space="0" w:color="000000"/>
            </w:tcBorders>
          </w:tcPr>
          <w:p w:rsidR="0093132E" w:rsidRPr="00EC2ADB" w:rsidRDefault="0093132E" w:rsidP="00783300">
            <w:pPr>
              <w:pStyle w:val="Default"/>
              <w:spacing w:before="40" w:after="40"/>
              <w:rPr>
                <w:rFonts w:ascii="Arial" w:hAnsi="Arial" w:cs="Arial"/>
                <w:sz w:val="19"/>
                <w:szCs w:val="19"/>
                <w:highlight w:val="yellow"/>
              </w:rPr>
            </w:pPr>
          </w:p>
        </w:tc>
        <w:tc>
          <w:tcPr>
            <w:tcW w:w="238" w:type="pct"/>
            <w:tcBorders>
              <w:top w:val="nil"/>
              <w:left w:val="single" w:sz="4" w:space="0" w:color="000000"/>
              <w:bottom w:val="single" w:sz="6" w:space="0" w:color="000000"/>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3b</w:t>
            </w:r>
          </w:p>
        </w:tc>
        <w:tc>
          <w:tcPr>
            <w:tcW w:w="3742" w:type="pct"/>
            <w:tcBorders>
              <w:top w:val="single" w:sz="4" w:space="0" w:color="000000"/>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 xml:space="preserve">Changements importants de méthode après le début de </w:t>
            </w:r>
            <w:proofErr w:type="gramStart"/>
            <w:r w:rsidRPr="00EC2ADB">
              <w:rPr>
                <w:rFonts w:ascii="Arial" w:hAnsi="Arial" w:cs="Arial"/>
                <w:sz w:val="19"/>
                <w:szCs w:val="19"/>
                <w:lang w:val="fr-FR"/>
              </w:rPr>
              <w:t>l’essai(</w:t>
            </w:r>
            <w:proofErr w:type="gramEnd"/>
            <w:r w:rsidRPr="00EC2ADB">
              <w:rPr>
                <w:rFonts w:ascii="Arial" w:hAnsi="Arial" w:cs="Arial"/>
                <w:sz w:val="19"/>
                <w:szCs w:val="19"/>
                <w:lang w:val="fr-FR"/>
              </w:rPr>
              <w:t>tel que les critères d’éligibilité), en expliquer la raison</w:t>
            </w:r>
          </w:p>
        </w:tc>
        <w:tc>
          <w:tcPr>
            <w:tcW w:w="234" w:type="pct"/>
            <w:tcBorders>
              <w:top w:val="single" w:sz="4" w:space="0" w:color="000000"/>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5"/>
        </w:trPr>
        <w:tc>
          <w:tcPr>
            <w:tcW w:w="786" w:type="pct"/>
            <w:vMerge w:val="restart"/>
            <w:tcBorders>
              <w:top w:val="single" w:sz="6" w:space="0" w:color="000000"/>
              <w:left w:val="single" w:sz="6" w:space="0" w:color="000000"/>
              <w:right w:val="single" w:sz="6"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Participants</w:t>
            </w:r>
          </w:p>
        </w:tc>
        <w:tc>
          <w:tcPr>
            <w:tcW w:w="238" w:type="pct"/>
            <w:tcBorders>
              <w:top w:val="single" w:sz="6" w:space="0" w:color="000000"/>
              <w:left w:val="single" w:sz="6"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4a</w:t>
            </w:r>
          </w:p>
        </w:tc>
        <w:tc>
          <w:tcPr>
            <w:tcW w:w="3742"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Critères d’éligibilité des participants</w:t>
            </w:r>
          </w:p>
        </w:tc>
        <w:tc>
          <w:tcPr>
            <w:tcW w:w="234"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70"/>
        </w:trPr>
        <w:tc>
          <w:tcPr>
            <w:tcW w:w="786" w:type="pct"/>
            <w:vMerge/>
            <w:tcBorders>
              <w:left w:val="single" w:sz="6" w:space="0" w:color="000000"/>
              <w:bottom w:val="single" w:sz="4" w:space="0" w:color="auto"/>
              <w:right w:val="single" w:sz="6"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p>
        </w:tc>
        <w:tc>
          <w:tcPr>
            <w:tcW w:w="238" w:type="pct"/>
            <w:tcBorders>
              <w:top w:val="nil"/>
              <w:left w:val="single" w:sz="6" w:space="0" w:color="000000"/>
              <w:bottom w:val="single" w:sz="4" w:space="0" w:color="auto"/>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4b</w:t>
            </w:r>
          </w:p>
        </w:tc>
        <w:tc>
          <w:tcPr>
            <w:tcW w:w="3742"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Structures et lieux de recueil des données</w:t>
            </w:r>
          </w:p>
        </w:tc>
        <w:tc>
          <w:tcPr>
            <w:tcW w:w="234"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70"/>
        </w:trPr>
        <w:tc>
          <w:tcPr>
            <w:tcW w:w="786" w:type="pct"/>
            <w:tcBorders>
              <w:top w:val="single" w:sz="4" w:space="0" w:color="auto"/>
              <w:left w:val="single" w:sz="4" w:space="0" w:color="000000"/>
              <w:bottom w:val="single" w:sz="6" w:space="0" w:color="000000"/>
              <w:right w:val="single" w:sz="4" w:space="0" w:color="000000"/>
            </w:tcBorders>
          </w:tcPr>
          <w:p w:rsidR="00783300" w:rsidRPr="00EC2ADB" w:rsidRDefault="00783300"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Interventions</w:t>
            </w:r>
          </w:p>
        </w:tc>
        <w:tc>
          <w:tcPr>
            <w:tcW w:w="238" w:type="pct"/>
            <w:tcBorders>
              <w:top w:val="single" w:sz="4" w:space="0" w:color="auto"/>
              <w:left w:val="single" w:sz="4" w:space="0" w:color="000000"/>
              <w:bottom w:val="single" w:sz="6" w:space="0" w:color="000000"/>
              <w:right w:val="single" w:sz="4"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5</w:t>
            </w:r>
          </w:p>
        </w:tc>
        <w:tc>
          <w:tcPr>
            <w:tcW w:w="3742" w:type="pct"/>
            <w:tcBorders>
              <w:top w:val="single" w:sz="4" w:space="0" w:color="auto"/>
              <w:left w:val="single" w:sz="4" w:space="0" w:color="000000"/>
              <w:bottom w:val="single" w:sz="4" w:space="0" w:color="auto"/>
              <w:right w:val="single" w:sz="4" w:space="0" w:color="000000"/>
            </w:tcBorders>
          </w:tcPr>
          <w:p w:rsidR="00783300" w:rsidRPr="00EC2ADB" w:rsidRDefault="00783300"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Interventions pour chaque groupe avec suffisamment de détails pour pouvoir reproduire l’étude, en incluant comment et quand elles ont été véritablement conduites</w:t>
            </w:r>
          </w:p>
        </w:tc>
        <w:tc>
          <w:tcPr>
            <w:tcW w:w="234" w:type="pct"/>
            <w:tcBorders>
              <w:top w:val="single" w:sz="4" w:space="0" w:color="auto"/>
              <w:left w:val="single" w:sz="4" w:space="0" w:color="000000"/>
              <w:bottom w:val="single" w:sz="4" w:space="0" w:color="auto"/>
              <w:right w:val="single" w:sz="4"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5"/>
        </w:trPr>
        <w:tc>
          <w:tcPr>
            <w:tcW w:w="786" w:type="pct"/>
            <w:vMerge w:val="restart"/>
            <w:tcBorders>
              <w:top w:val="single" w:sz="6" w:space="0" w:color="000000"/>
              <w:left w:val="single" w:sz="6" w:space="0" w:color="000000"/>
              <w:right w:val="single" w:sz="6"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Critères de jugement</w:t>
            </w:r>
          </w:p>
        </w:tc>
        <w:tc>
          <w:tcPr>
            <w:tcW w:w="238" w:type="pct"/>
            <w:tcBorders>
              <w:top w:val="single" w:sz="6" w:space="0" w:color="000000"/>
              <w:left w:val="single" w:sz="6"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6a</w:t>
            </w:r>
          </w:p>
        </w:tc>
        <w:tc>
          <w:tcPr>
            <w:tcW w:w="3742"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Critères "à priori" de jugement principal et secondaires entièrement définis, en incluant comment et quand ils ont été évalués</w:t>
            </w:r>
          </w:p>
        </w:tc>
        <w:tc>
          <w:tcPr>
            <w:tcW w:w="234"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70"/>
        </w:trPr>
        <w:tc>
          <w:tcPr>
            <w:tcW w:w="786" w:type="pct"/>
            <w:vMerge/>
            <w:tcBorders>
              <w:left w:val="single" w:sz="6" w:space="0" w:color="000000"/>
              <w:bottom w:val="single" w:sz="6" w:space="0" w:color="000000"/>
              <w:right w:val="single" w:sz="6"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p>
        </w:tc>
        <w:tc>
          <w:tcPr>
            <w:tcW w:w="238" w:type="pct"/>
            <w:tcBorders>
              <w:top w:val="nil"/>
              <w:left w:val="single" w:sz="6" w:space="0" w:color="000000"/>
              <w:bottom w:val="single" w:sz="6" w:space="0" w:color="000000"/>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6b</w:t>
            </w:r>
          </w:p>
        </w:tc>
        <w:tc>
          <w:tcPr>
            <w:tcW w:w="3742"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 xml:space="preserve">Changement quelconque de critères de jugement après le début de </w:t>
            </w:r>
            <w:proofErr w:type="gramStart"/>
            <w:r w:rsidRPr="00EC2ADB">
              <w:rPr>
                <w:rFonts w:ascii="Arial" w:hAnsi="Arial" w:cs="Arial"/>
                <w:sz w:val="19"/>
                <w:szCs w:val="19"/>
                <w:lang w:val="fr-FR" w:eastAsia="en-US" w:bidi="th-TH"/>
              </w:rPr>
              <w:t>l’essais</w:t>
            </w:r>
            <w:proofErr w:type="gramEnd"/>
            <w:r w:rsidRPr="00EC2ADB">
              <w:rPr>
                <w:rFonts w:ascii="Arial" w:hAnsi="Arial" w:cs="Arial"/>
                <w:sz w:val="19"/>
                <w:szCs w:val="19"/>
                <w:lang w:val="fr-FR" w:eastAsia="en-US" w:bidi="th-TH"/>
              </w:rPr>
              <w:t>, en expliquer la raison</w:t>
            </w:r>
          </w:p>
        </w:tc>
        <w:tc>
          <w:tcPr>
            <w:tcW w:w="234"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5"/>
        </w:trPr>
        <w:tc>
          <w:tcPr>
            <w:tcW w:w="786" w:type="pct"/>
            <w:vMerge w:val="restart"/>
            <w:tcBorders>
              <w:top w:val="single" w:sz="6" w:space="0" w:color="000000"/>
              <w:left w:val="single" w:sz="6" w:space="0" w:color="000000"/>
              <w:right w:val="single" w:sz="6"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Taille de l’échantillon</w:t>
            </w:r>
          </w:p>
        </w:tc>
        <w:tc>
          <w:tcPr>
            <w:tcW w:w="238" w:type="pct"/>
            <w:tcBorders>
              <w:top w:val="single" w:sz="6" w:space="0" w:color="000000"/>
              <w:left w:val="single" w:sz="6" w:space="0" w:color="000000"/>
              <w:bottom w:val="nil"/>
              <w:right w:val="single" w:sz="4"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7a</w:t>
            </w:r>
          </w:p>
        </w:tc>
        <w:tc>
          <w:tcPr>
            <w:tcW w:w="3742"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 xml:space="preserve">Comment la taille de l’échantillon a-t-elle été </w:t>
            </w:r>
            <w:proofErr w:type="gramStart"/>
            <w:r w:rsidRPr="00EC2ADB">
              <w:rPr>
                <w:rFonts w:ascii="Arial" w:hAnsi="Arial" w:cs="Arial"/>
                <w:sz w:val="19"/>
                <w:szCs w:val="19"/>
                <w:lang w:val="fr-FR" w:eastAsia="en-US" w:bidi="th-TH"/>
              </w:rPr>
              <w:t>déterminé</w:t>
            </w:r>
            <w:proofErr w:type="gramEnd"/>
            <w:r w:rsidRPr="00EC2ADB">
              <w:rPr>
                <w:rFonts w:ascii="Arial" w:hAnsi="Arial" w:cs="Arial"/>
                <w:sz w:val="19"/>
                <w:szCs w:val="19"/>
                <w:lang w:val="fr-FR" w:eastAsia="en-US" w:bidi="th-TH"/>
              </w:rPr>
              <w:t> ?</w:t>
            </w:r>
          </w:p>
        </w:tc>
        <w:tc>
          <w:tcPr>
            <w:tcW w:w="234" w:type="pct"/>
            <w:tcBorders>
              <w:top w:val="single" w:sz="4" w:space="0" w:color="auto"/>
              <w:left w:val="single" w:sz="4" w:space="0" w:color="000000"/>
              <w:bottom w:val="single" w:sz="4" w:space="0" w:color="auto"/>
              <w:right w:val="single" w:sz="4"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70"/>
        </w:trPr>
        <w:tc>
          <w:tcPr>
            <w:tcW w:w="786" w:type="pct"/>
            <w:vMerge/>
            <w:tcBorders>
              <w:left w:val="single" w:sz="6" w:space="0" w:color="000000"/>
              <w:bottom w:val="double" w:sz="2" w:space="0" w:color="FFFFCC"/>
              <w:right w:val="single" w:sz="6"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p>
        </w:tc>
        <w:tc>
          <w:tcPr>
            <w:tcW w:w="238" w:type="pct"/>
            <w:tcBorders>
              <w:top w:val="nil"/>
              <w:left w:val="single" w:sz="6" w:space="0" w:color="000000"/>
              <w:bottom w:val="double" w:sz="2" w:space="0" w:color="FFFFCC"/>
              <w:right w:val="single" w:sz="5"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7b</w:t>
            </w:r>
          </w:p>
        </w:tc>
        <w:tc>
          <w:tcPr>
            <w:tcW w:w="3742" w:type="pct"/>
            <w:tcBorders>
              <w:top w:val="single" w:sz="4" w:space="0" w:color="auto"/>
              <w:left w:val="single" w:sz="5" w:space="0" w:color="000000"/>
              <w:bottom w:val="double" w:sz="5" w:space="0" w:color="000000"/>
              <w:right w:val="single" w:sz="5" w:space="0" w:color="000000"/>
            </w:tcBorders>
          </w:tcPr>
          <w:p w:rsidR="0093132E" w:rsidRPr="00EC2ADB" w:rsidRDefault="0093132E"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Quand cela est applicable, explication des analyses intermédiaires et des règles d’arrêt</w:t>
            </w:r>
          </w:p>
        </w:tc>
        <w:tc>
          <w:tcPr>
            <w:tcW w:w="234" w:type="pct"/>
            <w:tcBorders>
              <w:top w:val="single" w:sz="4" w:space="0" w:color="auto"/>
              <w:left w:val="single" w:sz="5" w:space="0" w:color="000000"/>
              <w:bottom w:val="doub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44"/>
        </w:trPr>
        <w:tc>
          <w:tcPr>
            <w:tcW w:w="4766" w:type="pct"/>
            <w:gridSpan w:val="3"/>
            <w:tcBorders>
              <w:top w:val="double" w:sz="5" w:space="0" w:color="000000"/>
              <w:left w:val="single" w:sz="5" w:space="0" w:color="000000"/>
              <w:bottom w:val="single" w:sz="5" w:space="0" w:color="000000"/>
              <w:right w:val="single" w:sz="5" w:space="0" w:color="000000"/>
            </w:tcBorders>
            <w:shd w:val="clear" w:color="auto" w:fill="auto"/>
            <w:vAlign w:val="center"/>
          </w:tcPr>
          <w:p w:rsidR="00783300" w:rsidRPr="00EC2ADB" w:rsidRDefault="00783300" w:rsidP="00783300">
            <w:pPr>
              <w:pStyle w:val="Default"/>
              <w:rPr>
                <w:rFonts w:ascii="Arial" w:hAnsi="Arial" w:cs="Arial"/>
                <w:sz w:val="19"/>
                <w:szCs w:val="19"/>
                <w:highlight w:val="yellow"/>
              </w:rPr>
            </w:pPr>
            <w:r w:rsidRPr="00EC2ADB">
              <w:rPr>
                <w:rFonts w:ascii="Arial" w:hAnsi="Arial" w:cs="Arial"/>
                <w:b/>
                <w:bCs/>
                <w:sz w:val="19"/>
                <w:szCs w:val="19"/>
                <w:lang w:val="fr-FR" w:eastAsia="en-US" w:bidi="th-TH"/>
              </w:rPr>
              <w:t>RANDOMISATION</w:t>
            </w:r>
          </w:p>
        </w:tc>
        <w:tc>
          <w:tcPr>
            <w:tcW w:w="234" w:type="pct"/>
            <w:tcBorders>
              <w:top w:val="double" w:sz="5" w:space="0" w:color="000000"/>
              <w:left w:val="single" w:sz="5" w:space="0" w:color="000000"/>
              <w:bottom w:val="single" w:sz="5" w:space="0" w:color="000000"/>
              <w:right w:val="single" w:sz="5" w:space="0" w:color="000000"/>
            </w:tcBorders>
            <w:shd w:val="clear" w:color="auto" w:fill="auto"/>
          </w:tcPr>
          <w:p w:rsidR="00783300" w:rsidRPr="00EC2ADB" w:rsidRDefault="00783300">
            <w:pPr>
              <w:pStyle w:val="Default"/>
              <w:jc w:val="right"/>
              <w:rPr>
                <w:rFonts w:ascii="Arial" w:hAnsi="Arial" w:cs="Arial"/>
                <w:color w:val="auto"/>
                <w:sz w:val="19"/>
                <w:szCs w:val="19"/>
                <w:highlight w:val="yellow"/>
              </w:rPr>
            </w:pPr>
          </w:p>
        </w:tc>
      </w:tr>
      <w:tr w:rsidR="0093132E" w:rsidRPr="00EC2ADB" w:rsidTr="0093132E">
        <w:tblPrEx>
          <w:tblCellMar>
            <w:top w:w="0" w:type="dxa"/>
            <w:bottom w:w="0" w:type="dxa"/>
          </w:tblCellMar>
        </w:tblPrEx>
        <w:trPr>
          <w:trHeight w:val="68"/>
        </w:trPr>
        <w:tc>
          <w:tcPr>
            <w:tcW w:w="786" w:type="pct"/>
            <w:vMerge w:val="restart"/>
            <w:tcBorders>
              <w:top w:val="single" w:sz="4" w:space="0" w:color="auto"/>
              <w:left w:val="single" w:sz="4" w:space="0" w:color="000000"/>
              <w:right w:val="single" w:sz="4" w:space="0" w:color="auto"/>
            </w:tcBorders>
          </w:tcPr>
          <w:p w:rsidR="0093132E" w:rsidRPr="00EC2ADB" w:rsidRDefault="0093132E" w:rsidP="00783300">
            <w:pPr>
              <w:pStyle w:val="Default"/>
              <w:spacing w:before="40" w:after="40"/>
              <w:rPr>
                <w:rFonts w:ascii="Arial" w:hAnsi="Arial" w:cs="Arial"/>
                <w:sz w:val="19"/>
                <w:szCs w:val="19"/>
                <w:highlight w:val="yellow"/>
              </w:rPr>
            </w:pPr>
            <w:r w:rsidRPr="00EC2ADB">
              <w:rPr>
                <w:rFonts w:ascii="Arial" w:hAnsi="Arial" w:cs="Arial"/>
                <w:sz w:val="19"/>
                <w:szCs w:val="19"/>
                <w:lang w:val="fr-FR" w:eastAsia="en-US" w:bidi="th-TH"/>
              </w:rPr>
              <w:t>Production de la séquence</w:t>
            </w:r>
          </w:p>
        </w:tc>
        <w:tc>
          <w:tcPr>
            <w:tcW w:w="238" w:type="pct"/>
            <w:tcBorders>
              <w:top w:val="single" w:sz="4" w:space="0" w:color="auto"/>
              <w:left w:val="single" w:sz="4" w:space="0" w:color="auto"/>
              <w:bottom w:val="nil"/>
              <w:right w:val="single" w:sz="4" w:space="0" w:color="auto"/>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8a</w:t>
            </w:r>
          </w:p>
        </w:tc>
        <w:tc>
          <w:tcPr>
            <w:tcW w:w="3742" w:type="pct"/>
            <w:tcBorders>
              <w:top w:val="single" w:sz="5" w:space="0" w:color="000000"/>
              <w:left w:val="single" w:sz="4" w:space="0" w:color="auto"/>
              <w:bottom w:val="single" w:sz="5"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Méthode utilisée pour générer la séquence d’allocation par tirage au sort</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vMerge/>
            <w:tcBorders>
              <w:left w:val="single" w:sz="4" w:space="0" w:color="000000"/>
              <w:bottom w:val="single" w:sz="5" w:space="0" w:color="000000"/>
              <w:right w:val="single" w:sz="4" w:space="0" w:color="auto"/>
            </w:tcBorders>
          </w:tcPr>
          <w:p w:rsidR="0093132E" w:rsidRPr="00EC2ADB" w:rsidRDefault="0093132E" w:rsidP="00783300">
            <w:pPr>
              <w:pStyle w:val="Default"/>
              <w:spacing w:before="40" w:after="40"/>
              <w:rPr>
                <w:rFonts w:ascii="Arial" w:hAnsi="Arial" w:cs="Arial"/>
                <w:sz w:val="19"/>
                <w:szCs w:val="19"/>
                <w:highlight w:val="yellow"/>
              </w:rPr>
            </w:pPr>
          </w:p>
        </w:tc>
        <w:tc>
          <w:tcPr>
            <w:tcW w:w="238" w:type="pct"/>
            <w:tcBorders>
              <w:top w:val="nil"/>
              <w:left w:val="single" w:sz="4" w:space="0" w:color="auto"/>
              <w:bottom w:val="single" w:sz="4" w:space="0" w:color="auto"/>
              <w:right w:val="single" w:sz="4" w:space="0" w:color="auto"/>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8b</w:t>
            </w:r>
          </w:p>
        </w:tc>
        <w:tc>
          <w:tcPr>
            <w:tcW w:w="3742" w:type="pct"/>
            <w:tcBorders>
              <w:top w:val="single" w:sz="5" w:space="0" w:color="000000"/>
              <w:left w:val="single" w:sz="4" w:space="0" w:color="auto"/>
              <w:bottom w:val="single" w:sz="5"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Type de randomisation, en incluant les détails relatifs à une méthode de restriction (comme par ex. : par  blocs, avec la taille des blocs)</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sz w:val="19"/>
                <w:szCs w:val="19"/>
                <w:highlight w:val="yellow"/>
              </w:rPr>
            </w:pPr>
            <w:proofErr w:type="spellStart"/>
            <w:r w:rsidRPr="00EC2ADB">
              <w:rPr>
                <w:rFonts w:ascii="Arial" w:hAnsi="Arial" w:cs="Arial"/>
                <w:sz w:val="19"/>
                <w:szCs w:val="19"/>
              </w:rPr>
              <w:t>Mécanisme</w:t>
            </w:r>
            <w:proofErr w:type="spellEnd"/>
            <w:r w:rsidRPr="00EC2ADB">
              <w:rPr>
                <w:rFonts w:ascii="Arial" w:hAnsi="Arial" w:cs="Arial"/>
                <w:sz w:val="19"/>
                <w:szCs w:val="19"/>
              </w:rPr>
              <w:t xml:space="preserve"> </w:t>
            </w:r>
            <w:proofErr w:type="spellStart"/>
            <w:r w:rsidRPr="00EC2ADB">
              <w:rPr>
                <w:rFonts w:ascii="Arial" w:hAnsi="Arial" w:cs="Arial"/>
                <w:sz w:val="19"/>
                <w:szCs w:val="19"/>
              </w:rPr>
              <w:t>d’assignation</w:t>
            </w:r>
            <w:proofErr w:type="spellEnd"/>
            <w:r w:rsidRPr="00EC2ADB">
              <w:rPr>
                <w:rFonts w:ascii="Arial" w:hAnsi="Arial" w:cs="Arial"/>
                <w:sz w:val="19"/>
                <w:szCs w:val="19"/>
              </w:rPr>
              <w:t xml:space="preserve"> </w:t>
            </w:r>
            <w:proofErr w:type="spellStart"/>
            <w:r w:rsidRPr="00EC2ADB">
              <w:rPr>
                <w:rFonts w:ascii="Arial" w:hAnsi="Arial" w:cs="Arial"/>
                <w:sz w:val="19"/>
                <w:szCs w:val="19"/>
              </w:rPr>
              <w:t>secrète</w:t>
            </w:r>
            <w:proofErr w:type="spellEnd"/>
          </w:p>
        </w:tc>
        <w:tc>
          <w:tcPr>
            <w:tcW w:w="238" w:type="pct"/>
            <w:tcBorders>
              <w:top w:val="single" w:sz="4" w:space="0" w:color="auto"/>
              <w:left w:val="single" w:sz="5" w:space="0" w:color="000000"/>
              <w:bottom w:val="single" w:sz="5" w:space="0" w:color="000000"/>
              <w:right w:val="single" w:sz="5"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9</w:t>
            </w:r>
          </w:p>
        </w:tc>
        <w:tc>
          <w:tcPr>
            <w:tcW w:w="3742"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 xml:space="preserve">Mécanisme utilisé pour mettre en œuvre la séquence d’allocation randomisée (comme par exemple : l’utilisation d’enveloppes numérotées séquentiellement), en décrivant chaque mesure prise pour masquer l’allocation jusqu’à l’assignation des interventions.  </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tcBorders>
              <w:top w:val="single" w:sz="5" w:space="0" w:color="000000"/>
              <w:left w:val="single" w:sz="5" w:space="0" w:color="000000"/>
              <w:bottom w:val="single" w:sz="4" w:space="0" w:color="auto"/>
              <w:right w:val="single" w:sz="5" w:space="0" w:color="000000"/>
            </w:tcBorders>
          </w:tcPr>
          <w:p w:rsidR="00783300" w:rsidRPr="00EC2ADB" w:rsidRDefault="00783300" w:rsidP="00783300">
            <w:pPr>
              <w:pStyle w:val="Default"/>
              <w:spacing w:before="40" w:after="40"/>
              <w:rPr>
                <w:rFonts w:ascii="Arial" w:hAnsi="Arial" w:cs="Arial"/>
                <w:sz w:val="19"/>
                <w:szCs w:val="19"/>
                <w:lang w:val="fr-FR" w:eastAsia="en-US" w:bidi="th-TH"/>
              </w:rPr>
            </w:pPr>
            <w:r w:rsidRPr="00EC2ADB">
              <w:rPr>
                <w:rFonts w:ascii="Arial" w:hAnsi="Arial" w:cs="Arial"/>
                <w:sz w:val="19"/>
                <w:szCs w:val="19"/>
                <w:lang w:val="fr-FR" w:eastAsia="en-US" w:bidi="th-TH"/>
              </w:rPr>
              <w:t>Mise en oeuvre</w:t>
            </w:r>
          </w:p>
        </w:tc>
        <w:tc>
          <w:tcPr>
            <w:tcW w:w="238" w:type="pct"/>
            <w:tcBorders>
              <w:top w:val="single" w:sz="5" w:space="0" w:color="000000"/>
              <w:left w:val="single" w:sz="5" w:space="0" w:color="000000"/>
              <w:bottom w:val="single" w:sz="4" w:space="0" w:color="auto"/>
              <w:right w:val="single" w:sz="5"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10</w:t>
            </w:r>
          </w:p>
        </w:tc>
        <w:tc>
          <w:tcPr>
            <w:tcW w:w="3742"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Qui a  généré la séquence d’allocation, qui a enrôlé les participants et qui a assigné les participants à leurs groupes</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456"/>
        </w:trPr>
        <w:tc>
          <w:tcPr>
            <w:tcW w:w="786" w:type="pct"/>
            <w:vMerge w:val="restart"/>
            <w:tcBorders>
              <w:top w:val="single" w:sz="4" w:space="0" w:color="auto"/>
              <w:left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Aveugle</w:t>
            </w:r>
          </w:p>
        </w:tc>
        <w:tc>
          <w:tcPr>
            <w:tcW w:w="238" w:type="pct"/>
            <w:tcBorders>
              <w:top w:val="single" w:sz="4" w:space="0" w:color="auto"/>
              <w:left w:val="single" w:sz="4" w:space="0" w:color="000000"/>
              <w:bottom w:val="nil"/>
              <w:right w:val="single" w:sz="4" w:space="0" w:color="auto"/>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11a</w:t>
            </w:r>
          </w:p>
        </w:tc>
        <w:tc>
          <w:tcPr>
            <w:tcW w:w="3742" w:type="pct"/>
            <w:tcBorders>
              <w:top w:val="single" w:sz="5" w:space="0" w:color="000000"/>
              <w:left w:val="single" w:sz="4" w:space="0" w:color="auto"/>
              <w:bottom w:val="single" w:sz="5"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Au cas où, décrire qui a été en aveugle après l’assignation des interventions (par exemple, les participants, les administrateurs de traitement, ceux qui évaluent les résultats) et comment ont-ils été empêchés de savoir</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150"/>
        </w:trPr>
        <w:tc>
          <w:tcPr>
            <w:tcW w:w="786" w:type="pct"/>
            <w:vMerge/>
            <w:tcBorders>
              <w:left w:val="single" w:sz="4" w:space="0" w:color="auto"/>
              <w:bottom w:val="single" w:sz="4" w:space="0" w:color="auto"/>
              <w:right w:val="single" w:sz="4"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p>
        </w:tc>
        <w:tc>
          <w:tcPr>
            <w:tcW w:w="238" w:type="pct"/>
            <w:tcBorders>
              <w:top w:val="nil"/>
              <w:left w:val="single" w:sz="4" w:space="0" w:color="000000"/>
              <w:bottom w:val="single" w:sz="4" w:space="0" w:color="auto"/>
              <w:right w:val="single" w:sz="4" w:space="0" w:color="auto"/>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11b</w:t>
            </w:r>
          </w:p>
        </w:tc>
        <w:tc>
          <w:tcPr>
            <w:tcW w:w="3742" w:type="pct"/>
            <w:tcBorders>
              <w:top w:val="single" w:sz="5" w:space="0" w:color="000000"/>
              <w:left w:val="single" w:sz="4" w:space="0" w:color="auto"/>
              <w:bottom w:val="single" w:sz="5"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Si approprié, description de la similitude des interventions</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vMerge w:val="restart"/>
            <w:tcBorders>
              <w:top w:val="single" w:sz="4" w:space="0" w:color="auto"/>
              <w:left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r w:rsidRPr="00EC2ADB">
              <w:rPr>
                <w:rFonts w:ascii="Arial" w:hAnsi="Arial" w:cs="Arial"/>
                <w:color w:val="auto"/>
                <w:sz w:val="19"/>
                <w:szCs w:val="19"/>
                <w:lang w:val="fr-FR"/>
              </w:rPr>
              <w:t>Méthodes statistiques</w:t>
            </w:r>
          </w:p>
        </w:tc>
        <w:tc>
          <w:tcPr>
            <w:tcW w:w="238" w:type="pct"/>
            <w:tcBorders>
              <w:top w:val="single" w:sz="4" w:space="0" w:color="auto"/>
              <w:left w:val="single" w:sz="5" w:space="0" w:color="000000"/>
              <w:bottom w:val="nil"/>
              <w:right w:val="single" w:sz="5"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12a</w:t>
            </w:r>
          </w:p>
        </w:tc>
        <w:tc>
          <w:tcPr>
            <w:tcW w:w="3742"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Méthodes statistiques utilisées pour comparer les groupes au regard des critères de jugement principal et secondaires</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231"/>
        </w:trPr>
        <w:tc>
          <w:tcPr>
            <w:tcW w:w="786" w:type="pct"/>
            <w:vMerge/>
            <w:tcBorders>
              <w:left w:val="single" w:sz="5" w:space="0" w:color="000000"/>
              <w:bottom w:val="single" w:sz="6"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p>
        </w:tc>
        <w:tc>
          <w:tcPr>
            <w:tcW w:w="238" w:type="pct"/>
            <w:tcBorders>
              <w:top w:val="nil"/>
              <w:left w:val="single" w:sz="5" w:space="0" w:color="000000"/>
              <w:bottom w:val="single" w:sz="6" w:space="0" w:color="000000"/>
              <w:right w:val="single" w:sz="2"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12b</w:t>
            </w:r>
          </w:p>
        </w:tc>
        <w:tc>
          <w:tcPr>
            <w:tcW w:w="3742" w:type="pct"/>
            <w:tcBorders>
              <w:top w:val="single" w:sz="5" w:space="0" w:color="000000"/>
              <w:left w:val="single" w:sz="2" w:space="0" w:color="000000"/>
              <w:bottom w:val="single" w:sz="6" w:space="0" w:color="000000"/>
              <w:right w:val="single" w:sz="5" w:space="0" w:color="000000"/>
            </w:tcBorders>
          </w:tcPr>
          <w:p w:rsidR="0093132E" w:rsidRPr="00EC2ADB" w:rsidRDefault="0093132E"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Méthodes utilisées pour des analyses supplémentaires, telles que des analyses de sous-groupes ou des analyses ajustées</w:t>
            </w:r>
          </w:p>
        </w:tc>
        <w:tc>
          <w:tcPr>
            <w:tcW w:w="234" w:type="pct"/>
            <w:tcBorders>
              <w:top w:val="single" w:sz="5" w:space="0" w:color="000000"/>
              <w:left w:val="single" w:sz="5" w:space="0" w:color="000000"/>
              <w:bottom w:val="single" w:sz="6" w:space="0" w:color="000000"/>
              <w:right w:val="single" w:sz="6"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EC2ADB">
        <w:tblPrEx>
          <w:tblCellMar>
            <w:top w:w="0" w:type="dxa"/>
            <w:bottom w:w="0" w:type="dxa"/>
          </w:tblCellMar>
        </w:tblPrEx>
        <w:trPr>
          <w:trHeight w:val="372"/>
        </w:trPr>
        <w:tc>
          <w:tcPr>
            <w:tcW w:w="4766" w:type="pct"/>
            <w:gridSpan w:val="3"/>
            <w:tcBorders>
              <w:top w:val="single" w:sz="6" w:space="0" w:color="000000"/>
              <w:left w:val="nil"/>
              <w:bottom w:val="nil"/>
              <w:right w:val="nil"/>
            </w:tcBorders>
            <w:shd w:val="clear" w:color="auto" w:fill="auto"/>
          </w:tcPr>
          <w:p w:rsidR="0093132E" w:rsidRPr="00EC2ADB" w:rsidRDefault="0093132E" w:rsidP="00783300">
            <w:pPr>
              <w:pStyle w:val="Default"/>
              <w:spacing w:before="40" w:after="40"/>
              <w:rPr>
                <w:rFonts w:ascii="Arial" w:hAnsi="Arial" w:cs="Arial"/>
                <w:b/>
                <w:bCs/>
                <w:sz w:val="19"/>
                <w:szCs w:val="19"/>
                <w:lang w:val="fr-FR" w:eastAsia="en-US" w:bidi="th-TH"/>
              </w:rPr>
            </w:pPr>
          </w:p>
        </w:tc>
        <w:tc>
          <w:tcPr>
            <w:tcW w:w="234" w:type="pct"/>
            <w:tcBorders>
              <w:top w:val="single" w:sz="6" w:space="0" w:color="000000"/>
              <w:left w:val="nil"/>
              <w:bottom w:val="nil"/>
              <w:right w:val="nil"/>
            </w:tcBorders>
            <w:shd w:val="clear" w:color="auto" w:fill="auto"/>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50"/>
        </w:trPr>
        <w:tc>
          <w:tcPr>
            <w:tcW w:w="4766" w:type="pct"/>
            <w:gridSpan w:val="3"/>
            <w:tcBorders>
              <w:top w:val="nil"/>
              <w:left w:val="single" w:sz="2" w:space="0" w:color="000000"/>
              <w:bottom w:val="single" w:sz="2"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sz w:val="19"/>
                <w:szCs w:val="19"/>
                <w:highlight w:val="yellow"/>
                <w:lang w:val="fr-FR"/>
              </w:rPr>
            </w:pPr>
            <w:r w:rsidRPr="00EC2ADB">
              <w:rPr>
                <w:rFonts w:ascii="Arial" w:hAnsi="Arial" w:cs="Arial"/>
                <w:b/>
                <w:bCs/>
                <w:sz w:val="19"/>
                <w:szCs w:val="19"/>
                <w:lang w:val="fr-FR" w:eastAsia="en-US" w:bidi="th-TH"/>
              </w:rPr>
              <w:t>RESULTATS</w:t>
            </w:r>
          </w:p>
        </w:tc>
        <w:tc>
          <w:tcPr>
            <w:tcW w:w="234" w:type="pct"/>
            <w:tcBorders>
              <w:top w:val="nil"/>
              <w:left w:val="single" w:sz="2" w:space="0" w:color="000000"/>
              <w:bottom w:val="single" w:sz="2"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vMerge w:val="restart"/>
            <w:tcBorders>
              <w:top w:val="single" w:sz="2" w:space="0" w:color="000000"/>
              <w:left w:val="single" w:sz="5" w:space="0" w:color="000000"/>
              <w:right w:val="single" w:sz="5" w:space="0" w:color="000000"/>
            </w:tcBorders>
          </w:tcPr>
          <w:p w:rsidR="00783300" w:rsidRPr="00EC2ADB" w:rsidRDefault="00783300" w:rsidP="00783300">
            <w:pPr>
              <w:pStyle w:val="Default"/>
              <w:spacing w:before="40" w:after="40"/>
              <w:rPr>
                <w:rFonts w:ascii="Arial" w:hAnsi="Arial" w:cs="Arial"/>
                <w:sz w:val="19"/>
                <w:szCs w:val="19"/>
              </w:rPr>
            </w:pPr>
            <w:r w:rsidRPr="00EC2ADB">
              <w:rPr>
                <w:rFonts w:ascii="Arial" w:hAnsi="Arial" w:cs="Arial"/>
                <w:sz w:val="19"/>
                <w:szCs w:val="19"/>
              </w:rPr>
              <w:t xml:space="preserve">Flux des participants (un </w:t>
            </w:r>
            <w:proofErr w:type="spellStart"/>
            <w:r w:rsidRPr="00EC2ADB">
              <w:rPr>
                <w:rFonts w:ascii="Arial" w:hAnsi="Arial" w:cs="Arial"/>
                <w:sz w:val="19"/>
                <w:szCs w:val="19"/>
              </w:rPr>
              <w:t>diagramme</w:t>
            </w:r>
            <w:proofErr w:type="spellEnd"/>
            <w:r w:rsidRPr="00EC2ADB">
              <w:rPr>
                <w:rFonts w:ascii="Arial" w:hAnsi="Arial" w:cs="Arial"/>
                <w:sz w:val="19"/>
                <w:szCs w:val="19"/>
              </w:rPr>
              <w:t xml:space="preserve"> </w:t>
            </w:r>
            <w:proofErr w:type="spellStart"/>
            <w:r w:rsidRPr="00EC2ADB">
              <w:rPr>
                <w:rFonts w:ascii="Arial" w:hAnsi="Arial" w:cs="Arial"/>
                <w:sz w:val="19"/>
                <w:szCs w:val="19"/>
              </w:rPr>
              <w:t>est</w:t>
            </w:r>
            <w:proofErr w:type="spellEnd"/>
            <w:r w:rsidRPr="00EC2ADB">
              <w:rPr>
                <w:rFonts w:ascii="Arial" w:hAnsi="Arial" w:cs="Arial"/>
                <w:sz w:val="19"/>
                <w:szCs w:val="19"/>
              </w:rPr>
              <w:t xml:space="preserve"> </w:t>
            </w:r>
            <w:proofErr w:type="spellStart"/>
            <w:r w:rsidRPr="00EC2ADB">
              <w:rPr>
                <w:rFonts w:ascii="Arial" w:hAnsi="Arial" w:cs="Arial"/>
                <w:sz w:val="19"/>
                <w:szCs w:val="19"/>
              </w:rPr>
              <w:t>fortement</w:t>
            </w:r>
            <w:proofErr w:type="spellEnd"/>
            <w:r w:rsidRPr="00EC2ADB">
              <w:rPr>
                <w:rFonts w:ascii="Arial" w:hAnsi="Arial" w:cs="Arial"/>
                <w:sz w:val="19"/>
                <w:szCs w:val="19"/>
              </w:rPr>
              <w:t xml:space="preserve"> </w:t>
            </w:r>
            <w:proofErr w:type="spellStart"/>
            <w:r w:rsidRPr="00EC2ADB">
              <w:rPr>
                <w:rFonts w:ascii="Arial" w:hAnsi="Arial" w:cs="Arial"/>
                <w:sz w:val="19"/>
                <w:szCs w:val="19"/>
              </w:rPr>
              <w:t>conseillé</w:t>
            </w:r>
            <w:proofErr w:type="spellEnd"/>
            <w:r w:rsidRPr="00EC2ADB">
              <w:rPr>
                <w:rFonts w:ascii="Arial" w:hAnsi="Arial" w:cs="Arial"/>
                <w:sz w:val="19"/>
                <w:szCs w:val="19"/>
              </w:rPr>
              <w:t>)</w:t>
            </w:r>
          </w:p>
        </w:tc>
        <w:tc>
          <w:tcPr>
            <w:tcW w:w="238" w:type="pct"/>
            <w:tcBorders>
              <w:top w:val="single" w:sz="2" w:space="0" w:color="000000"/>
              <w:left w:val="single" w:sz="5" w:space="0" w:color="000000"/>
              <w:bottom w:val="nil"/>
              <w:right w:val="single" w:sz="5"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13a</w:t>
            </w:r>
          </w:p>
        </w:tc>
        <w:tc>
          <w:tcPr>
            <w:tcW w:w="3742" w:type="pct"/>
            <w:tcBorders>
              <w:top w:val="single" w:sz="2" w:space="0" w:color="000000"/>
              <w:left w:val="single" w:sz="5"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highlight w:val="yellow"/>
                <w:lang w:val="fr-FR"/>
              </w:rPr>
            </w:pPr>
            <w:r w:rsidRPr="00EC2ADB">
              <w:rPr>
                <w:rFonts w:ascii="Arial" w:hAnsi="Arial" w:cs="Arial"/>
                <w:sz w:val="19"/>
                <w:szCs w:val="19"/>
                <w:lang w:val="fr-FR"/>
              </w:rPr>
              <w:t>Pour chaque groupe, le nombre de participants qui ont été assignés par tirage au sort, qui ont reçu le traitement qui leur était destiné, et qui ont été analysés pour le critère de jugement principal</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vMerge/>
            <w:tcBorders>
              <w:left w:val="single" w:sz="5"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rPr>
            </w:pPr>
          </w:p>
        </w:tc>
        <w:tc>
          <w:tcPr>
            <w:tcW w:w="238" w:type="pct"/>
            <w:tcBorders>
              <w:top w:val="nil"/>
              <w:left w:val="single" w:sz="5"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Pour chaque groupe, abandons et exclusions après la randomisation, en donner les raisons</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vMerge w:val="restart"/>
            <w:tcBorders>
              <w:top w:val="single" w:sz="2" w:space="0" w:color="000000"/>
              <w:left w:val="single" w:sz="2" w:space="0" w:color="000000"/>
              <w:right w:val="single" w:sz="2" w:space="0" w:color="000000"/>
            </w:tcBorders>
          </w:tcPr>
          <w:p w:rsidR="0093132E" w:rsidRPr="00EC2ADB" w:rsidRDefault="0093132E" w:rsidP="00783300">
            <w:pPr>
              <w:pStyle w:val="Default"/>
              <w:spacing w:before="40" w:after="40"/>
              <w:rPr>
                <w:rFonts w:ascii="Arial" w:hAnsi="Arial" w:cs="Arial"/>
                <w:sz w:val="19"/>
                <w:szCs w:val="19"/>
              </w:rPr>
            </w:pPr>
            <w:proofErr w:type="spellStart"/>
            <w:r w:rsidRPr="00EC2ADB">
              <w:rPr>
                <w:rFonts w:ascii="Arial" w:hAnsi="Arial" w:cs="Arial"/>
                <w:sz w:val="19"/>
                <w:szCs w:val="19"/>
              </w:rPr>
              <w:t>Recrutement</w:t>
            </w:r>
            <w:proofErr w:type="spellEnd"/>
          </w:p>
        </w:tc>
        <w:tc>
          <w:tcPr>
            <w:tcW w:w="238" w:type="pct"/>
            <w:tcBorders>
              <w:top w:val="single" w:sz="2" w:space="0" w:color="000000"/>
              <w:left w:val="single" w:sz="2" w:space="0" w:color="000000"/>
              <w:bottom w:val="nil"/>
              <w:right w:val="single" w:sz="2"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14a</w:t>
            </w:r>
          </w:p>
        </w:tc>
        <w:tc>
          <w:tcPr>
            <w:tcW w:w="3742" w:type="pct"/>
            <w:tcBorders>
              <w:top w:val="single" w:sz="2" w:space="0" w:color="000000"/>
              <w:left w:val="single" w:sz="2" w:space="0" w:color="000000"/>
              <w:bottom w:val="single" w:sz="2" w:space="0" w:color="000000"/>
              <w:right w:val="single" w:sz="5" w:space="0" w:color="000000"/>
            </w:tcBorders>
          </w:tcPr>
          <w:p w:rsidR="0093132E" w:rsidRPr="00EC2ADB" w:rsidRDefault="0093132E" w:rsidP="00783300">
            <w:pPr>
              <w:pStyle w:val="Default"/>
              <w:spacing w:before="40" w:after="40"/>
              <w:rPr>
                <w:rFonts w:ascii="Arial" w:hAnsi="Arial" w:cs="Arial"/>
                <w:sz w:val="19"/>
                <w:szCs w:val="19"/>
                <w:lang w:val="fr-FR"/>
              </w:rPr>
            </w:pPr>
            <w:r w:rsidRPr="00EC2ADB">
              <w:rPr>
                <w:rFonts w:ascii="Arial" w:hAnsi="Arial" w:cs="Arial"/>
                <w:sz w:val="19"/>
                <w:szCs w:val="19"/>
                <w:lang w:val="fr-FR"/>
              </w:rPr>
              <w:t>Dates définissant  les périodes de recrutement et de suivi</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vMerge/>
            <w:tcBorders>
              <w:left w:val="single" w:sz="2" w:space="0" w:color="000000"/>
              <w:bottom w:val="single" w:sz="2" w:space="0" w:color="000000"/>
              <w:right w:val="single" w:sz="2" w:space="0" w:color="000000"/>
            </w:tcBorders>
          </w:tcPr>
          <w:p w:rsidR="0093132E" w:rsidRPr="00EC2ADB" w:rsidRDefault="0093132E" w:rsidP="00783300">
            <w:pPr>
              <w:pStyle w:val="Default"/>
              <w:spacing w:before="40" w:after="40"/>
              <w:rPr>
                <w:rFonts w:ascii="Arial" w:hAnsi="Arial" w:cs="Arial"/>
                <w:sz w:val="19"/>
                <w:szCs w:val="19"/>
              </w:rPr>
            </w:pPr>
          </w:p>
        </w:tc>
        <w:tc>
          <w:tcPr>
            <w:tcW w:w="238" w:type="pct"/>
            <w:tcBorders>
              <w:top w:val="nil"/>
              <w:left w:val="single" w:sz="2" w:space="0" w:color="000000"/>
              <w:bottom w:val="single" w:sz="2" w:space="0" w:color="000000"/>
              <w:right w:val="single" w:sz="2"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14b</w:t>
            </w:r>
          </w:p>
        </w:tc>
        <w:tc>
          <w:tcPr>
            <w:tcW w:w="3742" w:type="pct"/>
            <w:tcBorders>
              <w:top w:val="single" w:sz="2" w:space="0" w:color="000000"/>
              <w:left w:val="single" w:sz="2" w:space="0" w:color="000000"/>
              <w:bottom w:val="single" w:sz="2" w:space="0" w:color="000000"/>
              <w:right w:val="single" w:sz="5" w:space="0" w:color="000000"/>
            </w:tcBorders>
          </w:tcPr>
          <w:p w:rsidR="0093132E" w:rsidRPr="00EC2ADB" w:rsidRDefault="0093132E" w:rsidP="00783300">
            <w:pPr>
              <w:pStyle w:val="Default"/>
              <w:spacing w:before="40" w:after="40"/>
              <w:rPr>
                <w:rFonts w:ascii="Arial" w:hAnsi="Arial" w:cs="Arial"/>
                <w:sz w:val="19"/>
                <w:szCs w:val="19"/>
                <w:lang w:val="fr-FR"/>
              </w:rPr>
            </w:pPr>
            <w:r w:rsidRPr="00EC2ADB">
              <w:rPr>
                <w:rFonts w:ascii="Arial" w:hAnsi="Arial" w:cs="Arial"/>
                <w:sz w:val="19"/>
                <w:szCs w:val="19"/>
                <w:lang w:val="fr-FR"/>
              </w:rPr>
              <w:t>Pourquoi l’essai a-t-il pris fin ou a été interrompu</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Données</w:t>
            </w:r>
            <w:proofErr w:type="spellEnd"/>
            <w:r w:rsidRPr="00EC2ADB">
              <w:rPr>
                <w:rFonts w:ascii="Arial" w:hAnsi="Arial" w:cs="Arial"/>
                <w:sz w:val="19"/>
                <w:szCs w:val="19"/>
              </w:rPr>
              <w:t xml:space="preserve"> </w:t>
            </w:r>
            <w:proofErr w:type="spellStart"/>
            <w:r w:rsidRPr="00EC2ADB">
              <w:rPr>
                <w:rFonts w:ascii="Arial" w:hAnsi="Arial" w:cs="Arial"/>
                <w:sz w:val="19"/>
                <w:szCs w:val="19"/>
              </w:rPr>
              <w:t>initiales</w:t>
            </w:r>
            <w:proofErr w:type="spellEnd"/>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15</w:t>
            </w: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Une table décrivant les caractéristiques initiales démographiques et cliniques de chaque groupe</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231"/>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Effectifs</w:t>
            </w:r>
            <w:proofErr w:type="spellEnd"/>
            <w:r w:rsidRPr="00EC2ADB">
              <w:rPr>
                <w:rFonts w:ascii="Arial" w:hAnsi="Arial" w:cs="Arial"/>
                <w:sz w:val="19"/>
                <w:szCs w:val="19"/>
              </w:rPr>
              <w:t xml:space="preserve"> </w:t>
            </w:r>
            <w:proofErr w:type="spellStart"/>
            <w:r w:rsidRPr="00EC2ADB">
              <w:rPr>
                <w:rFonts w:ascii="Arial" w:hAnsi="Arial" w:cs="Arial"/>
                <w:sz w:val="19"/>
                <w:szCs w:val="19"/>
              </w:rPr>
              <w:t>analysés</w:t>
            </w:r>
            <w:proofErr w:type="spellEnd"/>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16</w:t>
            </w: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Nombre de participants (dénominateur) inclus dans chaque analyse en précisant si l’analyse a été faite avec les groupes d’origine</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vMerge w:val="restart"/>
            <w:tcBorders>
              <w:top w:val="single" w:sz="2" w:space="0" w:color="000000"/>
              <w:left w:val="single" w:sz="2" w:space="0" w:color="000000"/>
              <w:right w:val="single" w:sz="2" w:space="0" w:color="000000"/>
            </w:tcBorders>
          </w:tcPr>
          <w:p w:rsidR="0093132E" w:rsidRPr="00EC2ADB" w:rsidRDefault="0093132E" w:rsidP="00783300">
            <w:pPr>
              <w:pStyle w:val="Default"/>
              <w:spacing w:before="40" w:after="40"/>
              <w:rPr>
                <w:rFonts w:ascii="Arial" w:hAnsi="Arial" w:cs="Arial"/>
                <w:sz w:val="19"/>
                <w:szCs w:val="19"/>
              </w:rPr>
            </w:pPr>
            <w:proofErr w:type="spellStart"/>
            <w:r w:rsidRPr="00EC2ADB">
              <w:rPr>
                <w:rFonts w:ascii="Arial" w:hAnsi="Arial" w:cs="Arial"/>
                <w:sz w:val="19"/>
                <w:szCs w:val="19"/>
              </w:rPr>
              <w:t>Critères</w:t>
            </w:r>
            <w:proofErr w:type="spellEnd"/>
            <w:r w:rsidRPr="00EC2ADB">
              <w:rPr>
                <w:rFonts w:ascii="Arial" w:hAnsi="Arial" w:cs="Arial"/>
                <w:sz w:val="19"/>
                <w:szCs w:val="19"/>
              </w:rPr>
              <w:t xml:space="preserve"> de </w:t>
            </w:r>
            <w:proofErr w:type="spellStart"/>
            <w:r w:rsidRPr="00EC2ADB">
              <w:rPr>
                <w:rFonts w:ascii="Arial" w:hAnsi="Arial" w:cs="Arial"/>
                <w:sz w:val="19"/>
                <w:szCs w:val="19"/>
              </w:rPr>
              <w:t>jugement</w:t>
            </w:r>
            <w:proofErr w:type="spellEnd"/>
            <w:r w:rsidRPr="00EC2ADB">
              <w:rPr>
                <w:rFonts w:ascii="Arial" w:hAnsi="Arial" w:cs="Arial"/>
                <w:sz w:val="19"/>
                <w:szCs w:val="19"/>
              </w:rPr>
              <w:t xml:space="preserve"> et estimations</w:t>
            </w:r>
          </w:p>
        </w:tc>
        <w:tc>
          <w:tcPr>
            <w:tcW w:w="238" w:type="pct"/>
            <w:tcBorders>
              <w:top w:val="single" w:sz="2" w:space="0" w:color="000000"/>
              <w:left w:val="single" w:sz="2" w:space="0" w:color="000000"/>
              <w:bottom w:val="nil"/>
              <w:right w:val="single" w:sz="2"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17a</w:t>
            </w:r>
          </w:p>
        </w:tc>
        <w:tc>
          <w:tcPr>
            <w:tcW w:w="3742" w:type="pct"/>
            <w:tcBorders>
              <w:top w:val="single" w:sz="2" w:space="0" w:color="000000"/>
              <w:left w:val="single" w:sz="2" w:space="0" w:color="000000"/>
              <w:bottom w:val="single" w:sz="2" w:space="0" w:color="000000"/>
              <w:right w:val="single" w:sz="5" w:space="0" w:color="000000"/>
            </w:tcBorders>
          </w:tcPr>
          <w:p w:rsidR="0093132E" w:rsidRPr="00EC2ADB" w:rsidRDefault="0093132E" w:rsidP="00783300">
            <w:pPr>
              <w:pStyle w:val="Default"/>
              <w:spacing w:before="40" w:after="40"/>
              <w:rPr>
                <w:rFonts w:ascii="Arial" w:hAnsi="Arial" w:cs="Arial"/>
                <w:sz w:val="19"/>
                <w:szCs w:val="19"/>
                <w:lang w:val="fr-FR"/>
              </w:rPr>
            </w:pPr>
            <w:r w:rsidRPr="00EC2ADB">
              <w:rPr>
                <w:rFonts w:ascii="Arial" w:hAnsi="Arial" w:cs="Arial"/>
                <w:sz w:val="19"/>
                <w:szCs w:val="19"/>
                <w:lang w:val="fr-FR"/>
              </w:rPr>
              <w:t>Pour chaque critère de jugement principal et secondaire, donner les résultats pour chaque groupe, et la taille estimée de l’effet ainsi que sa précision (comme par ex. : intervalles de confiance à 95%)</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vMerge/>
            <w:tcBorders>
              <w:left w:val="single" w:sz="2" w:space="0" w:color="000000"/>
              <w:bottom w:val="single" w:sz="2" w:space="0" w:color="000000"/>
              <w:right w:val="single" w:sz="2" w:space="0" w:color="000000"/>
            </w:tcBorders>
          </w:tcPr>
          <w:p w:rsidR="0093132E" w:rsidRPr="00EC2ADB" w:rsidRDefault="0093132E" w:rsidP="00783300">
            <w:pPr>
              <w:pStyle w:val="Default"/>
              <w:spacing w:before="40" w:after="40"/>
              <w:rPr>
                <w:rFonts w:ascii="Arial" w:hAnsi="Arial" w:cs="Arial"/>
                <w:sz w:val="19"/>
                <w:szCs w:val="19"/>
              </w:rPr>
            </w:pPr>
          </w:p>
        </w:tc>
        <w:tc>
          <w:tcPr>
            <w:tcW w:w="238" w:type="pct"/>
            <w:tcBorders>
              <w:top w:val="nil"/>
              <w:left w:val="single" w:sz="2" w:space="0" w:color="000000"/>
              <w:bottom w:val="single" w:sz="2" w:space="0" w:color="000000"/>
              <w:right w:val="single" w:sz="2" w:space="0" w:color="000000"/>
            </w:tcBorders>
          </w:tcPr>
          <w:p w:rsidR="0093132E" w:rsidRPr="00EC2ADB" w:rsidRDefault="0093132E" w:rsidP="00783300">
            <w:pPr>
              <w:pStyle w:val="Default"/>
              <w:spacing w:before="40" w:after="40"/>
              <w:jc w:val="center"/>
              <w:rPr>
                <w:rFonts w:ascii="Arial" w:hAnsi="Arial" w:cs="Arial"/>
                <w:sz w:val="19"/>
                <w:szCs w:val="19"/>
              </w:rPr>
            </w:pPr>
            <w:r w:rsidRPr="00EC2ADB">
              <w:rPr>
                <w:rFonts w:ascii="Arial" w:hAnsi="Arial" w:cs="Arial"/>
                <w:sz w:val="19"/>
                <w:szCs w:val="19"/>
              </w:rPr>
              <w:t>17b</w:t>
            </w:r>
          </w:p>
        </w:tc>
        <w:tc>
          <w:tcPr>
            <w:tcW w:w="3742" w:type="pct"/>
            <w:tcBorders>
              <w:top w:val="single" w:sz="2" w:space="0" w:color="000000"/>
              <w:left w:val="single" w:sz="2" w:space="0" w:color="000000"/>
              <w:bottom w:val="single" w:sz="2" w:space="0" w:color="000000"/>
              <w:right w:val="single" w:sz="5" w:space="0" w:color="000000"/>
            </w:tcBorders>
          </w:tcPr>
          <w:p w:rsidR="0093132E" w:rsidRPr="00EC2ADB" w:rsidRDefault="0093132E" w:rsidP="00783300">
            <w:pPr>
              <w:pStyle w:val="Default"/>
              <w:spacing w:before="40" w:after="40"/>
              <w:rPr>
                <w:rFonts w:ascii="Arial" w:hAnsi="Arial" w:cs="Arial"/>
                <w:sz w:val="19"/>
                <w:szCs w:val="19"/>
                <w:lang w:val="fr-FR"/>
              </w:rPr>
            </w:pPr>
            <w:r w:rsidRPr="00EC2ADB">
              <w:rPr>
                <w:rFonts w:ascii="Arial" w:hAnsi="Arial" w:cs="Arial"/>
                <w:sz w:val="19"/>
                <w:szCs w:val="19"/>
                <w:lang w:val="fr-FR"/>
              </w:rPr>
              <w:t>Pour les variables binaires, une présentation de la taille de l’effet en valeurs absolues et relatives est recommandée</w:t>
            </w:r>
          </w:p>
        </w:tc>
        <w:tc>
          <w:tcPr>
            <w:tcW w:w="234" w:type="pct"/>
            <w:tcBorders>
              <w:top w:val="single" w:sz="5" w:space="0" w:color="000000"/>
              <w:left w:val="single" w:sz="5" w:space="0" w:color="000000"/>
              <w:bottom w:val="single" w:sz="5" w:space="0" w:color="000000"/>
              <w:right w:val="single" w:sz="5" w:space="0" w:color="000000"/>
            </w:tcBorders>
          </w:tcPr>
          <w:p w:rsidR="0093132E" w:rsidRPr="00EC2ADB" w:rsidRDefault="0093132E"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r w:rsidRPr="00EC2ADB">
              <w:rPr>
                <w:rFonts w:ascii="Arial" w:hAnsi="Arial" w:cs="Arial"/>
                <w:sz w:val="19"/>
                <w:szCs w:val="19"/>
              </w:rPr>
              <w:t xml:space="preserve">Analyses </w:t>
            </w:r>
            <w:proofErr w:type="spellStart"/>
            <w:r w:rsidRPr="00EC2ADB">
              <w:rPr>
                <w:rFonts w:ascii="Arial" w:hAnsi="Arial" w:cs="Arial"/>
                <w:sz w:val="19"/>
                <w:szCs w:val="19"/>
              </w:rPr>
              <w:t>accessoires</w:t>
            </w:r>
            <w:proofErr w:type="spellEnd"/>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18</w:t>
            </w: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Résultats de toute analyse supplémentaire réalisée, en incluant les analyses en sous-groupes et les analyses ajustées, et en distinguant les analyses spécifiées à priori des analyses exploratoires</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8"/>
        </w:trPr>
        <w:tc>
          <w:tcPr>
            <w:tcW w:w="786" w:type="pct"/>
            <w:tcBorders>
              <w:top w:val="single" w:sz="2" w:space="0" w:color="000000"/>
              <w:left w:val="single" w:sz="2" w:space="0" w:color="000000"/>
              <w:bottom w:val="doub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Risques</w:t>
            </w:r>
            <w:proofErr w:type="spellEnd"/>
          </w:p>
        </w:tc>
        <w:tc>
          <w:tcPr>
            <w:tcW w:w="238" w:type="pct"/>
            <w:tcBorders>
              <w:top w:val="single" w:sz="2" w:space="0" w:color="000000"/>
              <w:left w:val="single" w:sz="2" w:space="0" w:color="000000"/>
              <w:bottom w:val="doub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19</w:t>
            </w:r>
          </w:p>
        </w:tc>
        <w:tc>
          <w:tcPr>
            <w:tcW w:w="3742" w:type="pct"/>
            <w:tcBorders>
              <w:top w:val="single" w:sz="2" w:space="0" w:color="000000"/>
              <w:left w:val="single" w:sz="2" w:space="0" w:color="000000"/>
              <w:bottom w:val="doub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Tous les risques importants ou effets secondaires inattendus dans chaque groupe (pour un conseil détaillé voir ‘</w:t>
            </w:r>
            <w:r w:rsidRPr="00EC2ADB">
              <w:rPr>
                <w:rFonts w:ascii="Arial" w:hAnsi="Arial" w:cs="Arial"/>
                <w:i/>
                <w:sz w:val="19"/>
                <w:szCs w:val="19"/>
                <w:lang w:val="fr-FR"/>
              </w:rPr>
              <w:t xml:space="preserve">CONSORT for </w:t>
            </w:r>
            <w:proofErr w:type="spellStart"/>
            <w:r w:rsidRPr="00EC2ADB">
              <w:rPr>
                <w:rFonts w:ascii="Arial" w:hAnsi="Arial" w:cs="Arial"/>
                <w:i/>
                <w:sz w:val="19"/>
                <w:szCs w:val="19"/>
                <w:lang w:val="fr-FR"/>
              </w:rPr>
              <w:t>harms</w:t>
            </w:r>
            <w:proofErr w:type="spellEnd"/>
            <w:r w:rsidRPr="00EC2ADB">
              <w:rPr>
                <w:rFonts w:ascii="Arial" w:hAnsi="Arial" w:cs="Arial"/>
                <w:sz w:val="19"/>
                <w:szCs w:val="19"/>
                <w:lang w:val="fr-FR"/>
              </w:rPr>
              <w:t>’)</w:t>
            </w:r>
          </w:p>
        </w:tc>
        <w:tc>
          <w:tcPr>
            <w:tcW w:w="234" w:type="pct"/>
            <w:tcBorders>
              <w:top w:val="single" w:sz="5" w:space="0" w:color="000000"/>
              <w:left w:val="single" w:sz="5" w:space="0" w:color="000000"/>
              <w:bottom w:val="double" w:sz="2"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65"/>
        </w:trPr>
        <w:tc>
          <w:tcPr>
            <w:tcW w:w="4766" w:type="pct"/>
            <w:gridSpan w:val="3"/>
            <w:tcBorders>
              <w:top w:val="double" w:sz="2" w:space="0" w:color="000000"/>
              <w:left w:val="single" w:sz="2" w:space="0" w:color="000000"/>
              <w:bottom w:val="single" w:sz="2"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b/>
                <w:sz w:val="19"/>
                <w:szCs w:val="19"/>
                <w:lang w:val="fr-FR"/>
              </w:rPr>
            </w:pPr>
            <w:r w:rsidRPr="00EC2ADB">
              <w:rPr>
                <w:rFonts w:ascii="Arial" w:hAnsi="Arial" w:cs="Arial"/>
                <w:b/>
                <w:sz w:val="19"/>
                <w:szCs w:val="19"/>
                <w:lang w:val="fr-FR"/>
              </w:rPr>
              <w:t>DISCUSSION</w:t>
            </w:r>
          </w:p>
        </w:tc>
        <w:tc>
          <w:tcPr>
            <w:tcW w:w="234" w:type="pct"/>
            <w:tcBorders>
              <w:top w:val="double" w:sz="2" w:space="0" w:color="000000"/>
              <w:left w:val="single" w:sz="2" w:space="0" w:color="000000"/>
              <w:bottom w:val="single" w:sz="5"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r w:rsidRPr="00EC2ADB">
              <w:rPr>
                <w:rFonts w:ascii="Arial" w:hAnsi="Arial" w:cs="Arial"/>
                <w:sz w:val="19"/>
                <w:szCs w:val="19"/>
              </w:rPr>
              <w:t>Limitations</w:t>
            </w:r>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20</w:t>
            </w: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 xml:space="preserve">Limitations de </w:t>
            </w:r>
            <w:proofErr w:type="gramStart"/>
            <w:r w:rsidRPr="00EC2ADB">
              <w:rPr>
                <w:rFonts w:ascii="Arial" w:hAnsi="Arial" w:cs="Arial"/>
                <w:sz w:val="19"/>
                <w:szCs w:val="19"/>
                <w:lang w:val="fr-FR"/>
              </w:rPr>
              <w:t>l’essais</w:t>
            </w:r>
            <w:proofErr w:type="gramEnd"/>
            <w:r w:rsidRPr="00EC2ADB">
              <w:rPr>
                <w:rFonts w:ascii="Arial" w:hAnsi="Arial" w:cs="Arial"/>
                <w:sz w:val="19"/>
                <w:szCs w:val="19"/>
                <w:lang w:val="fr-FR"/>
              </w:rPr>
              <w:t>, en tenant compte des sources de biais potentiels ou d’imprécision, et au cas où, en tenant compte de la multiplicité des analyses</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68"/>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r w:rsidRPr="00EC2ADB">
              <w:rPr>
                <w:rFonts w:ascii="Arial" w:hAnsi="Arial" w:cs="Arial"/>
                <w:sz w:val="19"/>
                <w:szCs w:val="19"/>
              </w:rPr>
              <w:t>“</w:t>
            </w:r>
            <w:proofErr w:type="spellStart"/>
            <w:r w:rsidRPr="00EC2ADB">
              <w:rPr>
                <w:rFonts w:ascii="Arial" w:hAnsi="Arial" w:cs="Arial"/>
                <w:sz w:val="19"/>
                <w:szCs w:val="19"/>
              </w:rPr>
              <w:t>Généralisabilité</w:t>
            </w:r>
            <w:proofErr w:type="spellEnd"/>
            <w:r w:rsidRPr="00EC2ADB">
              <w:rPr>
                <w:rFonts w:ascii="Arial" w:hAnsi="Arial" w:cs="Arial"/>
                <w:sz w:val="19"/>
                <w:szCs w:val="19"/>
              </w:rPr>
              <w:t>”</w:t>
            </w:r>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21</w:t>
            </w: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w:t>
            </w:r>
            <w:proofErr w:type="spellStart"/>
            <w:r w:rsidRPr="00EC2ADB">
              <w:rPr>
                <w:rFonts w:ascii="Arial" w:hAnsi="Arial" w:cs="Arial"/>
                <w:sz w:val="19"/>
                <w:szCs w:val="19"/>
                <w:lang w:val="fr-FR"/>
              </w:rPr>
              <w:t>Généralisabilité</w:t>
            </w:r>
            <w:proofErr w:type="spellEnd"/>
            <w:r w:rsidRPr="00EC2ADB">
              <w:rPr>
                <w:rFonts w:ascii="Arial" w:hAnsi="Arial" w:cs="Arial"/>
                <w:sz w:val="19"/>
                <w:szCs w:val="19"/>
                <w:lang w:val="fr-FR"/>
              </w:rPr>
              <w:t>“ (validité externe, applicabilité) des résultats de l’essai</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93132E" w:rsidRPr="00EC2ADB" w:rsidTr="0093132E">
        <w:tblPrEx>
          <w:tblCellMar>
            <w:top w:w="0" w:type="dxa"/>
            <w:bottom w:w="0" w:type="dxa"/>
          </w:tblCellMar>
        </w:tblPrEx>
        <w:trPr>
          <w:trHeight w:val="327"/>
        </w:trPr>
        <w:tc>
          <w:tcPr>
            <w:tcW w:w="786" w:type="pct"/>
            <w:tcBorders>
              <w:top w:val="single" w:sz="2" w:space="0" w:color="000000"/>
              <w:left w:val="single" w:sz="2" w:space="0" w:color="000000"/>
              <w:bottom w:val="doub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Interprétation</w:t>
            </w:r>
            <w:proofErr w:type="spellEnd"/>
          </w:p>
        </w:tc>
        <w:tc>
          <w:tcPr>
            <w:tcW w:w="238" w:type="pct"/>
            <w:tcBorders>
              <w:top w:val="single" w:sz="2" w:space="0" w:color="000000"/>
              <w:left w:val="single" w:sz="2" w:space="0" w:color="000000"/>
              <w:bottom w:val="doub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22</w:t>
            </w:r>
          </w:p>
        </w:tc>
        <w:tc>
          <w:tcPr>
            <w:tcW w:w="3742" w:type="pct"/>
            <w:tcBorders>
              <w:top w:val="single" w:sz="2" w:space="0" w:color="000000"/>
              <w:left w:val="single" w:sz="2" w:space="0" w:color="000000"/>
              <w:bottom w:val="doub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Interprétations/conclusions cohérentes avec les résultats, en tenant compte du ratio bénéfices/risques et de possibles autres faits pertinents</w:t>
            </w:r>
          </w:p>
        </w:tc>
        <w:tc>
          <w:tcPr>
            <w:tcW w:w="234" w:type="pct"/>
            <w:tcBorders>
              <w:top w:val="single" w:sz="5" w:space="0" w:color="000000"/>
              <w:left w:val="single" w:sz="5" w:space="0" w:color="000000"/>
              <w:bottom w:val="double" w:sz="2"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327"/>
        </w:trPr>
        <w:tc>
          <w:tcPr>
            <w:tcW w:w="4766" w:type="pct"/>
            <w:gridSpan w:val="3"/>
            <w:tcBorders>
              <w:top w:val="double" w:sz="2" w:space="0" w:color="000000"/>
              <w:left w:val="single" w:sz="2" w:space="0" w:color="000000"/>
              <w:bottom w:val="single" w:sz="2"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b/>
                <w:sz w:val="19"/>
                <w:szCs w:val="19"/>
                <w:lang w:val="fr-FR"/>
              </w:rPr>
            </w:pPr>
            <w:r w:rsidRPr="00EC2ADB">
              <w:rPr>
                <w:rFonts w:ascii="Arial" w:hAnsi="Arial" w:cs="Arial"/>
                <w:b/>
                <w:sz w:val="19"/>
                <w:szCs w:val="19"/>
                <w:lang w:val="fr-FR"/>
              </w:rPr>
              <w:t>INFORMATIONS SUPPLEMENTAIRES</w:t>
            </w:r>
          </w:p>
        </w:tc>
        <w:tc>
          <w:tcPr>
            <w:tcW w:w="234" w:type="pct"/>
            <w:tcBorders>
              <w:top w:val="double" w:sz="2" w:space="0" w:color="000000"/>
              <w:left w:val="single" w:sz="2" w:space="0" w:color="000000"/>
              <w:bottom w:val="single" w:sz="5"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327"/>
        </w:trPr>
        <w:tc>
          <w:tcPr>
            <w:tcW w:w="786" w:type="pct"/>
            <w:tcBorders>
              <w:top w:val="single" w:sz="2" w:space="0" w:color="000000"/>
              <w:left w:val="single" w:sz="2" w:space="0" w:color="000000"/>
              <w:bottom w:val="single" w:sz="2" w:space="0" w:color="000000"/>
              <w:right w:val="single" w:sz="2" w:space="0" w:color="000000"/>
            </w:tcBorders>
            <w:shd w:val="clear" w:color="auto" w:fill="auto"/>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Enregistrement</w:t>
            </w:r>
            <w:proofErr w:type="spellEnd"/>
          </w:p>
        </w:tc>
        <w:tc>
          <w:tcPr>
            <w:tcW w:w="238" w:type="pct"/>
            <w:tcBorders>
              <w:top w:val="single" w:sz="2" w:space="0" w:color="000000"/>
              <w:left w:val="single" w:sz="2" w:space="0" w:color="000000"/>
              <w:bottom w:val="single" w:sz="2" w:space="0" w:color="000000"/>
              <w:right w:val="single" w:sz="2" w:space="0" w:color="000000"/>
            </w:tcBorders>
            <w:shd w:val="clear" w:color="auto" w:fill="auto"/>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23</w:t>
            </w:r>
          </w:p>
        </w:tc>
        <w:tc>
          <w:tcPr>
            <w:tcW w:w="3742" w:type="pct"/>
            <w:tcBorders>
              <w:top w:val="single" w:sz="2" w:space="0" w:color="000000"/>
              <w:left w:val="single" w:sz="2" w:space="0" w:color="000000"/>
              <w:bottom w:val="single" w:sz="2" w:space="0" w:color="000000"/>
              <w:right w:val="single" w:sz="5" w:space="0" w:color="000000"/>
            </w:tcBorders>
            <w:shd w:val="clear" w:color="auto" w:fill="auto"/>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Numéro d’enregistrement de l’essai en précisant le registre utilisé</w:t>
            </w:r>
          </w:p>
        </w:tc>
        <w:tc>
          <w:tcPr>
            <w:tcW w:w="234" w:type="pct"/>
            <w:tcBorders>
              <w:top w:val="single" w:sz="5" w:space="0" w:color="000000"/>
              <w:left w:val="single" w:sz="5" w:space="0" w:color="000000"/>
              <w:bottom w:val="single" w:sz="5" w:space="0" w:color="000000"/>
              <w:right w:val="single" w:sz="5" w:space="0" w:color="000000"/>
            </w:tcBorders>
            <w:shd w:val="clear" w:color="auto" w:fill="auto"/>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327"/>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Protocole</w:t>
            </w:r>
            <w:proofErr w:type="spellEnd"/>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24</w:t>
            </w:r>
          </w:p>
        </w:tc>
        <w:tc>
          <w:tcPr>
            <w:tcW w:w="3742" w:type="pct"/>
            <w:tcBorders>
              <w:top w:val="single" w:sz="2" w:space="0" w:color="000000"/>
              <w:left w:val="single" w:sz="2" w:space="0" w:color="000000"/>
              <w:bottom w:val="single" w:sz="2"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Où le protocole complet de l’essai peut-il être consulté, si possible </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r w:rsidR="00783300" w:rsidRPr="00EC2ADB" w:rsidTr="0093132E">
        <w:tblPrEx>
          <w:tblCellMar>
            <w:top w:w="0" w:type="dxa"/>
            <w:bottom w:w="0" w:type="dxa"/>
          </w:tblCellMar>
        </w:tblPrEx>
        <w:trPr>
          <w:trHeight w:val="327"/>
        </w:trPr>
        <w:tc>
          <w:tcPr>
            <w:tcW w:w="786"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rPr>
                <w:rFonts w:ascii="Arial" w:hAnsi="Arial" w:cs="Arial"/>
                <w:sz w:val="19"/>
                <w:szCs w:val="19"/>
              </w:rPr>
            </w:pPr>
            <w:proofErr w:type="spellStart"/>
            <w:r w:rsidRPr="00EC2ADB">
              <w:rPr>
                <w:rFonts w:ascii="Arial" w:hAnsi="Arial" w:cs="Arial"/>
                <w:sz w:val="19"/>
                <w:szCs w:val="19"/>
              </w:rPr>
              <w:t>Financement</w:t>
            </w:r>
            <w:proofErr w:type="spellEnd"/>
          </w:p>
        </w:tc>
        <w:tc>
          <w:tcPr>
            <w:tcW w:w="238" w:type="pct"/>
            <w:tcBorders>
              <w:top w:val="single" w:sz="2" w:space="0" w:color="000000"/>
              <w:left w:val="single" w:sz="2" w:space="0" w:color="000000"/>
              <w:bottom w:val="single" w:sz="2" w:space="0" w:color="000000"/>
              <w:right w:val="single" w:sz="2" w:space="0" w:color="000000"/>
            </w:tcBorders>
          </w:tcPr>
          <w:p w:rsidR="00783300" w:rsidRPr="00EC2ADB" w:rsidRDefault="00783300" w:rsidP="00783300">
            <w:pPr>
              <w:pStyle w:val="Default"/>
              <w:spacing w:before="40" w:after="40"/>
              <w:jc w:val="center"/>
              <w:rPr>
                <w:rFonts w:ascii="Arial" w:hAnsi="Arial" w:cs="Arial"/>
                <w:sz w:val="19"/>
                <w:szCs w:val="19"/>
              </w:rPr>
            </w:pPr>
            <w:r w:rsidRPr="00EC2ADB">
              <w:rPr>
                <w:rFonts w:ascii="Arial" w:hAnsi="Arial" w:cs="Arial"/>
                <w:sz w:val="19"/>
                <w:szCs w:val="19"/>
              </w:rPr>
              <w:t>25</w:t>
            </w:r>
          </w:p>
        </w:tc>
        <w:tc>
          <w:tcPr>
            <w:tcW w:w="3742" w:type="pct"/>
            <w:tcBorders>
              <w:top w:val="single" w:sz="2" w:space="0" w:color="000000"/>
              <w:left w:val="single" w:sz="2"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sz w:val="19"/>
                <w:szCs w:val="19"/>
                <w:lang w:val="fr-FR"/>
              </w:rPr>
            </w:pPr>
            <w:r w:rsidRPr="00EC2ADB">
              <w:rPr>
                <w:rFonts w:ascii="Arial" w:hAnsi="Arial" w:cs="Arial"/>
                <w:sz w:val="19"/>
                <w:szCs w:val="19"/>
                <w:lang w:val="fr-FR"/>
              </w:rPr>
              <w:t>Sources de financement et autres ressources (par ex. : fourniture de médicaments), rôle des donateurs</w:t>
            </w:r>
          </w:p>
        </w:tc>
        <w:tc>
          <w:tcPr>
            <w:tcW w:w="234" w:type="pct"/>
            <w:tcBorders>
              <w:top w:val="single" w:sz="5" w:space="0" w:color="000000"/>
              <w:left w:val="single" w:sz="5" w:space="0" w:color="000000"/>
              <w:bottom w:val="single" w:sz="5" w:space="0" w:color="000000"/>
              <w:right w:val="single" w:sz="5" w:space="0" w:color="000000"/>
            </w:tcBorders>
          </w:tcPr>
          <w:p w:rsidR="00783300" w:rsidRPr="00EC2ADB" w:rsidRDefault="00783300" w:rsidP="00783300">
            <w:pPr>
              <w:pStyle w:val="Default"/>
              <w:spacing w:before="40" w:after="40"/>
              <w:rPr>
                <w:rFonts w:ascii="Arial" w:hAnsi="Arial" w:cs="Arial"/>
                <w:color w:val="auto"/>
                <w:sz w:val="19"/>
                <w:szCs w:val="19"/>
                <w:highlight w:val="yellow"/>
                <w:lang w:val="fr-FR"/>
              </w:rPr>
            </w:pPr>
          </w:p>
        </w:tc>
      </w:tr>
    </w:tbl>
    <w:p w:rsidR="00783300" w:rsidRPr="0093132E" w:rsidRDefault="00783300" w:rsidP="0093132E">
      <w:pPr>
        <w:pStyle w:val="CM1"/>
        <w:rPr>
          <w:rFonts w:ascii="Arial" w:hAnsi="Arial" w:cs="Arial"/>
          <w:sz w:val="14"/>
          <w:szCs w:val="14"/>
          <w:highlight w:val="yellow"/>
          <w:lang w:val="fr-FR"/>
        </w:rPr>
      </w:pPr>
    </w:p>
    <w:p w:rsidR="00783300" w:rsidRPr="005C2183" w:rsidRDefault="00783300" w:rsidP="00783300">
      <w:pPr>
        <w:pStyle w:val="CM1"/>
        <w:spacing w:after="130"/>
        <w:rPr>
          <w:rFonts w:ascii="Arial" w:hAnsi="Arial" w:cs="Arial"/>
          <w:i/>
          <w:color w:val="3366FF"/>
          <w:sz w:val="16"/>
          <w:szCs w:val="18"/>
          <w:lang w:val="da-DK"/>
        </w:rPr>
      </w:pPr>
      <w:r w:rsidRPr="005C2183">
        <w:rPr>
          <w:rFonts w:ascii="Arial" w:hAnsi="Arial" w:cs="Arial"/>
          <w:sz w:val="16"/>
          <w:szCs w:val="18"/>
        </w:rPr>
        <w:t xml:space="preserve">* Il </w:t>
      </w:r>
      <w:r w:rsidRPr="005C2183">
        <w:rPr>
          <w:rFonts w:ascii="Arial" w:hAnsi="Arial" w:cs="Arial"/>
          <w:sz w:val="16"/>
          <w:szCs w:val="18"/>
          <w:lang w:val="fr-FR"/>
        </w:rPr>
        <w:t>est</w:t>
      </w:r>
      <w:r w:rsidRPr="005C2183">
        <w:rPr>
          <w:rFonts w:ascii="Arial" w:hAnsi="Arial" w:cs="Arial"/>
          <w:sz w:val="16"/>
          <w:szCs w:val="18"/>
        </w:rPr>
        <w:t xml:space="preserve"> </w:t>
      </w:r>
      <w:r w:rsidRPr="005C2183">
        <w:rPr>
          <w:rFonts w:ascii="Arial" w:hAnsi="Arial" w:cs="Arial"/>
          <w:sz w:val="16"/>
          <w:szCs w:val="18"/>
          <w:lang w:val="fr-FR"/>
        </w:rPr>
        <w:t>instamment</w:t>
      </w:r>
      <w:r w:rsidRPr="005C2183">
        <w:rPr>
          <w:rFonts w:ascii="Arial" w:hAnsi="Arial" w:cs="Arial"/>
          <w:sz w:val="16"/>
          <w:szCs w:val="18"/>
        </w:rPr>
        <w:t xml:space="preserve"> </w:t>
      </w:r>
      <w:r w:rsidRPr="005C2183">
        <w:rPr>
          <w:rFonts w:ascii="Arial" w:hAnsi="Arial" w:cs="Arial"/>
          <w:sz w:val="16"/>
          <w:szCs w:val="18"/>
          <w:lang w:val="fr-FR"/>
        </w:rPr>
        <w:t>recommandé de lire cette liste CONSORT 2010 à l’aide du document ‘</w:t>
      </w:r>
      <w:r w:rsidRPr="005C2183">
        <w:rPr>
          <w:rFonts w:ascii="Arial" w:hAnsi="Arial" w:cs="Arial"/>
          <w:i/>
          <w:color w:val="3366FF"/>
          <w:sz w:val="16"/>
          <w:szCs w:val="18"/>
          <w:lang w:val="fr-FR"/>
        </w:rPr>
        <w:t xml:space="preserve">CONSORT 2010 </w:t>
      </w:r>
      <w:proofErr w:type="spellStart"/>
      <w:r w:rsidRPr="005C2183">
        <w:rPr>
          <w:rFonts w:ascii="Arial" w:hAnsi="Arial" w:cs="Arial"/>
          <w:i/>
          <w:color w:val="3366FF"/>
          <w:sz w:val="16"/>
          <w:szCs w:val="18"/>
          <w:lang w:val="fr-FR"/>
        </w:rPr>
        <w:t>Explanation</w:t>
      </w:r>
      <w:proofErr w:type="spellEnd"/>
      <w:r w:rsidRPr="005C2183">
        <w:rPr>
          <w:rFonts w:ascii="Arial" w:hAnsi="Arial" w:cs="Arial"/>
          <w:i/>
          <w:color w:val="3366FF"/>
          <w:sz w:val="16"/>
          <w:szCs w:val="18"/>
          <w:lang w:val="fr-FR"/>
        </w:rPr>
        <w:t xml:space="preserve"> and Elaboration</w:t>
      </w:r>
      <w:r w:rsidRPr="005C2183">
        <w:rPr>
          <w:rFonts w:ascii="Arial" w:hAnsi="Arial" w:cs="Arial"/>
          <w:i/>
          <w:sz w:val="16"/>
          <w:szCs w:val="18"/>
          <w:lang w:val="fr-FR"/>
        </w:rPr>
        <w:t xml:space="preserve">’ </w:t>
      </w:r>
      <w:r w:rsidRPr="005C2183">
        <w:rPr>
          <w:rFonts w:ascii="Arial" w:hAnsi="Arial" w:cs="Arial"/>
          <w:sz w:val="16"/>
          <w:szCs w:val="18"/>
          <w:lang w:val="fr-FR"/>
        </w:rPr>
        <w:t>pour mieux comprendre les clarifications apportées à cette nouvelle version. Si opportun, il est aussi recommandé de lire les extensions CONSORT pour les essais en grappes</w:t>
      </w:r>
      <w:r w:rsidRPr="005C2183">
        <w:rPr>
          <w:rFonts w:ascii="Arial" w:hAnsi="Arial" w:cs="Arial"/>
          <w:sz w:val="16"/>
          <w:szCs w:val="18"/>
        </w:rPr>
        <w:t xml:space="preserve"> </w:t>
      </w:r>
      <w:r w:rsidRPr="005C2183">
        <w:rPr>
          <w:rFonts w:ascii="Arial" w:hAnsi="Arial" w:cs="Arial"/>
          <w:sz w:val="16"/>
          <w:szCs w:val="18"/>
          <w:lang w:val="fr-FR"/>
        </w:rPr>
        <w:t xml:space="preserve">randomisées, les essais de non-infériorités et d’équivalence, les traitements non médicamenteux, les interventions à base d’herbes, les essais pragmatiques. D’autres  futures extensions sont attendues. Pour ces extensions et pour des références récentes en rapport avec cette liste CONSORT 2010, aller à </w:t>
      </w:r>
      <w:r w:rsidRPr="005C2183">
        <w:rPr>
          <w:rFonts w:ascii="Arial" w:hAnsi="Arial" w:cs="Arial"/>
          <w:i/>
          <w:sz w:val="16"/>
          <w:szCs w:val="18"/>
        </w:rPr>
        <w:t>:</w:t>
      </w:r>
      <w:r w:rsidRPr="005C2183">
        <w:rPr>
          <w:rFonts w:ascii="Arial" w:hAnsi="Arial" w:cs="Arial"/>
          <w:i/>
          <w:sz w:val="16"/>
          <w:szCs w:val="18"/>
          <w:lang w:val="da-DK"/>
        </w:rPr>
        <w:t xml:space="preserve"> </w:t>
      </w:r>
      <w:hyperlink r:id="rId8" w:history="1">
        <w:r w:rsidRPr="00A929BB">
          <w:rPr>
            <w:rStyle w:val="Hyperlink"/>
            <w:rFonts w:ascii="Arial" w:hAnsi="Arial" w:cs="Arial"/>
            <w:i/>
            <w:sz w:val="16"/>
            <w:szCs w:val="18"/>
            <w:lang w:val="da-DK"/>
          </w:rPr>
          <w:t>http://www.consort-statement.org/consort-statement/overview0/</w:t>
        </w:r>
      </w:hyperlink>
    </w:p>
    <w:p w:rsidR="00783300" w:rsidRPr="005C2183" w:rsidRDefault="00783300" w:rsidP="00783300">
      <w:pPr>
        <w:pStyle w:val="Default"/>
        <w:spacing w:line="183" w:lineRule="atLeast"/>
        <w:jc w:val="both"/>
        <w:rPr>
          <w:rFonts w:ascii="Arial" w:hAnsi="Arial" w:cs="LucidaGrande"/>
          <w:i/>
          <w:color w:val="3366FF"/>
          <w:sz w:val="16"/>
          <w:lang w:val="fr-FR" w:eastAsia="fr-FR" w:bidi="fr-FR"/>
        </w:rPr>
      </w:pPr>
      <w:proofErr w:type="spellStart"/>
      <w:r w:rsidRPr="005C2183">
        <w:rPr>
          <w:rFonts w:ascii="Arial" w:hAnsi="Arial" w:cs="Arial"/>
          <w:i/>
          <w:iCs/>
          <w:sz w:val="16"/>
          <w:szCs w:val="16"/>
        </w:rPr>
        <w:t>Traduction</w:t>
      </w:r>
      <w:proofErr w:type="spellEnd"/>
      <w:r w:rsidRPr="005C2183">
        <w:rPr>
          <w:rFonts w:ascii="Arial" w:hAnsi="Arial" w:cs="Arial"/>
          <w:i/>
          <w:iCs/>
          <w:sz w:val="16"/>
          <w:szCs w:val="16"/>
        </w:rPr>
        <w:t xml:space="preserve"> </w:t>
      </w:r>
      <w:proofErr w:type="spellStart"/>
      <w:r w:rsidRPr="005C2183">
        <w:rPr>
          <w:rFonts w:ascii="Arial" w:hAnsi="Arial" w:cs="Arial"/>
          <w:i/>
          <w:iCs/>
          <w:sz w:val="16"/>
          <w:szCs w:val="16"/>
        </w:rPr>
        <w:t>originale</w:t>
      </w:r>
      <w:proofErr w:type="spellEnd"/>
      <w:r w:rsidRPr="005C2183">
        <w:rPr>
          <w:rFonts w:ascii="Arial" w:hAnsi="Arial" w:cs="Arial"/>
          <w:i/>
          <w:iCs/>
          <w:sz w:val="16"/>
          <w:szCs w:val="16"/>
        </w:rPr>
        <w:t xml:space="preserve"> de la </w:t>
      </w:r>
      <w:proofErr w:type="spellStart"/>
      <w:r w:rsidRPr="005C2183">
        <w:rPr>
          <w:rFonts w:ascii="Arial" w:hAnsi="Arial" w:cs="Arial"/>
          <w:i/>
          <w:iCs/>
          <w:sz w:val="16"/>
          <w:szCs w:val="16"/>
        </w:rPr>
        <w:t>liste</w:t>
      </w:r>
      <w:proofErr w:type="spellEnd"/>
      <w:r w:rsidRPr="005C2183">
        <w:rPr>
          <w:rFonts w:ascii="Arial" w:hAnsi="Arial" w:cs="Arial"/>
          <w:i/>
          <w:iCs/>
          <w:sz w:val="16"/>
          <w:szCs w:val="16"/>
        </w:rPr>
        <w:t xml:space="preserve"> CONSORT 2010 issue de </w:t>
      </w:r>
      <w:proofErr w:type="spellStart"/>
      <w:r w:rsidRPr="005C2183">
        <w:rPr>
          <w:rFonts w:ascii="Arial" w:hAnsi="Arial" w:cs="Arial"/>
          <w:i/>
          <w:iCs/>
          <w:sz w:val="16"/>
          <w:szCs w:val="16"/>
        </w:rPr>
        <w:t>l’article</w:t>
      </w:r>
      <w:proofErr w:type="spellEnd"/>
      <w:r w:rsidRPr="005C2183">
        <w:rPr>
          <w:rFonts w:ascii="Arial" w:hAnsi="Arial" w:cs="Arial"/>
          <w:i/>
          <w:iCs/>
          <w:sz w:val="16"/>
          <w:szCs w:val="16"/>
        </w:rPr>
        <w:t xml:space="preserve"> de: Schulz KF, </w:t>
      </w:r>
      <w:proofErr w:type="spellStart"/>
      <w:r w:rsidRPr="005C2183">
        <w:rPr>
          <w:rFonts w:ascii="Arial" w:hAnsi="Arial" w:cs="Arial"/>
          <w:i/>
          <w:iCs/>
          <w:sz w:val="16"/>
          <w:szCs w:val="16"/>
        </w:rPr>
        <w:t>Latman</w:t>
      </w:r>
      <w:proofErr w:type="spellEnd"/>
      <w:r w:rsidRPr="005C2183">
        <w:rPr>
          <w:rFonts w:ascii="Arial" w:hAnsi="Arial" w:cs="Arial"/>
          <w:i/>
          <w:iCs/>
          <w:sz w:val="16"/>
          <w:szCs w:val="16"/>
        </w:rPr>
        <w:t xml:space="preserve">  DG, Moher D. CONSORT 2010 Statement: Updated Guidelines for Reporting Parallel Group Randomised Trials. </w:t>
      </w:r>
      <w:proofErr w:type="spellStart"/>
      <w:r w:rsidRPr="005C2183">
        <w:rPr>
          <w:rFonts w:ascii="Arial" w:hAnsi="Arial" w:cs="Arial"/>
          <w:i/>
          <w:iCs/>
          <w:sz w:val="16"/>
          <w:szCs w:val="16"/>
        </w:rPr>
        <w:t>PLoS</w:t>
      </w:r>
      <w:proofErr w:type="spellEnd"/>
      <w:r w:rsidRPr="005C2183">
        <w:rPr>
          <w:rFonts w:ascii="Arial" w:hAnsi="Arial" w:cs="Arial"/>
          <w:i/>
          <w:iCs/>
          <w:sz w:val="16"/>
          <w:szCs w:val="16"/>
        </w:rPr>
        <w:t xml:space="preserve"> Med. 2010</w:t>
      </w:r>
      <w:proofErr w:type="gramStart"/>
      <w:r w:rsidRPr="005C2183">
        <w:rPr>
          <w:rFonts w:ascii="Arial" w:hAnsi="Arial" w:cs="Arial"/>
          <w:i/>
          <w:iCs/>
          <w:sz w:val="16"/>
          <w:szCs w:val="16"/>
        </w:rPr>
        <w:t>;7</w:t>
      </w:r>
      <w:proofErr w:type="gramEnd"/>
      <w:r w:rsidRPr="005C2183">
        <w:rPr>
          <w:rFonts w:ascii="Arial" w:hAnsi="Arial" w:cs="Arial"/>
          <w:i/>
          <w:iCs/>
          <w:sz w:val="16"/>
          <w:szCs w:val="16"/>
        </w:rPr>
        <w:t>(3)</w:t>
      </w:r>
      <w:r w:rsidRPr="005C2183">
        <w:rPr>
          <w:rFonts w:ascii="Arial" w:hAnsi="Arial"/>
          <w:i/>
          <w:sz w:val="16"/>
          <w:lang w:val="de-DE"/>
        </w:rPr>
        <w:t xml:space="preserve">: e1000251. doi:10.1371/journal.pmed.1000251, </w:t>
      </w:r>
      <w:r w:rsidRPr="005C2183">
        <w:rPr>
          <w:rFonts w:ascii="Arial" w:hAnsi="Arial" w:cs="LucidaGrande"/>
          <w:i/>
          <w:sz w:val="16"/>
          <w:lang w:eastAsia="fr-FR" w:bidi="fr-FR"/>
        </w:rPr>
        <w:t xml:space="preserve">et </w:t>
      </w:r>
      <w:proofErr w:type="spellStart"/>
      <w:r w:rsidRPr="005C2183">
        <w:rPr>
          <w:rFonts w:ascii="Arial" w:hAnsi="Arial" w:cs="LucidaGrande"/>
          <w:i/>
          <w:sz w:val="16"/>
          <w:lang w:eastAsia="fr-FR" w:bidi="fr-FR"/>
        </w:rPr>
        <w:t>d'après</w:t>
      </w:r>
      <w:proofErr w:type="spellEnd"/>
      <w:r w:rsidRPr="005C2183">
        <w:rPr>
          <w:rFonts w:ascii="Arial" w:hAnsi="Arial" w:cs="LucidaGrande"/>
          <w:i/>
          <w:sz w:val="16"/>
          <w:lang w:eastAsia="fr-FR" w:bidi="fr-FR"/>
        </w:rPr>
        <w:t xml:space="preserve"> la </w:t>
      </w:r>
      <w:proofErr w:type="spellStart"/>
      <w:r w:rsidRPr="005C2183">
        <w:rPr>
          <w:rFonts w:ascii="Arial" w:hAnsi="Arial" w:cs="LucidaGrande"/>
          <w:i/>
          <w:sz w:val="16"/>
          <w:lang w:eastAsia="fr-FR" w:bidi="fr-FR"/>
        </w:rPr>
        <w:t>traduction</w:t>
      </w:r>
      <w:proofErr w:type="spellEnd"/>
      <w:r w:rsidRPr="005C2183">
        <w:rPr>
          <w:rFonts w:ascii="Arial" w:hAnsi="Arial" w:cs="LucidaGrande"/>
          <w:i/>
          <w:sz w:val="16"/>
          <w:lang w:eastAsia="fr-FR" w:bidi="fr-FR"/>
        </w:rPr>
        <w:t xml:space="preserve"> </w:t>
      </w:r>
      <w:proofErr w:type="spellStart"/>
      <w:r w:rsidRPr="005C2183">
        <w:rPr>
          <w:rFonts w:ascii="Arial" w:hAnsi="Arial" w:cs="LucidaGrande"/>
          <w:i/>
          <w:sz w:val="16"/>
          <w:lang w:eastAsia="fr-FR" w:bidi="fr-FR"/>
        </w:rPr>
        <w:t>originale</w:t>
      </w:r>
      <w:proofErr w:type="spellEnd"/>
      <w:r w:rsidRPr="005C2183">
        <w:rPr>
          <w:rFonts w:ascii="Arial" w:hAnsi="Arial" w:cs="LucidaGrande"/>
          <w:i/>
          <w:sz w:val="16"/>
          <w:lang w:eastAsia="fr-FR" w:bidi="fr-FR"/>
        </w:rPr>
        <w:t xml:space="preserve"> de la </w:t>
      </w:r>
      <w:proofErr w:type="spellStart"/>
      <w:r w:rsidRPr="005C2183">
        <w:rPr>
          <w:rFonts w:ascii="Arial" w:hAnsi="Arial" w:cs="LucidaGrande"/>
          <w:i/>
          <w:sz w:val="16"/>
          <w:lang w:eastAsia="fr-FR" w:bidi="fr-FR"/>
        </w:rPr>
        <w:t>liste</w:t>
      </w:r>
      <w:proofErr w:type="spellEnd"/>
      <w:r w:rsidRPr="005C2183">
        <w:rPr>
          <w:rFonts w:ascii="Arial" w:hAnsi="Arial" w:cs="LucidaGrande"/>
          <w:i/>
          <w:sz w:val="16"/>
          <w:lang w:eastAsia="fr-FR" w:bidi="fr-FR"/>
        </w:rPr>
        <w:t xml:space="preserve"> CONSORT 2001 par Pauline </w:t>
      </w:r>
      <w:proofErr w:type="spellStart"/>
      <w:r w:rsidRPr="005C2183">
        <w:rPr>
          <w:rFonts w:ascii="Arial" w:hAnsi="Arial" w:cs="LucidaGrande"/>
          <w:i/>
          <w:sz w:val="16"/>
          <w:lang w:eastAsia="fr-FR" w:bidi="fr-FR"/>
        </w:rPr>
        <w:t>Brindel</w:t>
      </w:r>
      <w:proofErr w:type="spellEnd"/>
      <w:r w:rsidRPr="005C2183">
        <w:rPr>
          <w:rFonts w:ascii="Arial" w:hAnsi="Arial" w:cs="LucidaGrande"/>
          <w:i/>
          <w:sz w:val="16"/>
          <w:lang w:eastAsia="fr-FR" w:bidi="fr-FR"/>
        </w:rPr>
        <w:t xml:space="preserve">, Caroline </w:t>
      </w:r>
      <w:proofErr w:type="spellStart"/>
      <w:r w:rsidRPr="005C2183">
        <w:rPr>
          <w:rFonts w:ascii="Arial" w:hAnsi="Arial" w:cs="LucidaGrande"/>
          <w:i/>
          <w:sz w:val="16"/>
          <w:lang w:eastAsia="fr-FR" w:bidi="fr-FR"/>
        </w:rPr>
        <w:t>Tournoux</w:t>
      </w:r>
      <w:proofErr w:type="spellEnd"/>
      <w:r w:rsidRPr="005C2183">
        <w:rPr>
          <w:rFonts w:ascii="Arial" w:hAnsi="Arial" w:cs="LucidaGrande"/>
          <w:i/>
          <w:sz w:val="16"/>
          <w:lang w:eastAsia="fr-FR" w:bidi="fr-FR"/>
        </w:rPr>
        <w:t xml:space="preserve">, Jean-Philippe </w:t>
      </w:r>
      <w:proofErr w:type="spellStart"/>
      <w:r w:rsidRPr="005C2183">
        <w:rPr>
          <w:rFonts w:ascii="Arial" w:hAnsi="Arial" w:cs="LucidaGrande"/>
          <w:i/>
          <w:sz w:val="16"/>
          <w:lang w:eastAsia="fr-FR" w:bidi="fr-FR"/>
        </w:rPr>
        <w:t>Jais</w:t>
      </w:r>
      <w:proofErr w:type="spellEnd"/>
      <w:r w:rsidRPr="005C2183">
        <w:rPr>
          <w:rFonts w:ascii="Arial" w:hAnsi="Arial" w:cs="LucidaGrande"/>
          <w:i/>
          <w:sz w:val="16"/>
          <w:lang w:eastAsia="fr-FR" w:bidi="fr-FR"/>
        </w:rPr>
        <w:t xml:space="preserve"> et Paul </w:t>
      </w:r>
      <w:proofErr w:type="spellStart"/>
      <w:r w:rsidRPr="005C2183">
        <w:rPr>
          <w:rFonts w:ascii="Arial" w:hAnsi="Arial" w:cs="LucidaGrande"/>
          <w:i/>
          <w:sz w:val="16"/>
          <w:lang w:eastAsia="fr-FR" w:bidi="fr-FR"/>
        </w:rPr>
        <w:t>Landais</w:t>
      </w:r>
      <w:proofErr w:type="spellEnd"/>
      <w:r w:rsidRPr="005C2183">
        <w:rPr>
          <w:rFonts w:ascii="Arial" w:hAnsi="Arial" w:cs="LucidaGrande"/>
          <w:i/>
          <w:sz w:val="16"/>
          <w:lang w:eastAsia="fr-FR" w:bidi="fr-FR"/>
        </w:rPr>
        <w:t xml:space="preserve">, 2006, consultable en version interactive </w:t>
      </w:r>
      <w:proofErr w:type="spellStart"/>
      <w:r w:rsidRPr="005C2183">
        <w:rPr>
          <w:rFonts w:ascii="Arial" w:hAnsi="Arial" w:cs="LucidaGrande"/>
          <w:i/>
          <w:sz w:val="16"/>
          <w:lang w:eastAsia="fr-FR" w:bidi="fr-FR"/>
        </w:rPr>
        <w:t>sur</w:t>
      </w:r>
      <w:proofErr w:type="spellEnd"/>
      <w:r w:rsidRPr="005C2183">
        <w:rPr>
          <w:rFonts w:ascii="Arial" w:hAnsi="Arial" w:cs="LucidaGrande"/>
          <w:i/>
          <w:sz w:val="16"/>
          <w:lang w:eastAsia="fr-FR" w:bidi="fr-FR"/>
        </w:rPr>
        <w:t xml:space="preserve"> </w:t>
      </w:r>
      <w:hyperlink r:id="rId9" w:history="1">
        <w:r w:rsidRPr="005D14E7">
          <w:rPr>
            <w:rStyle w:val="Hyperlink"/>
            <w:rFonts w:ascii="Arial" w:hAnsi="Arial" w:cs="LucidaGrande"/>
            <w:i/>
            <w:sz w:val="16"/>
            <w:lang w:eastAsia="fr-FR" w:bidi="fr-FR"/>
          </w:rPr>
          <w:t>http://eb.medecine.univ-paris5.fr/moodle/course/view.php?id=2</w:t>
        </w:r>
      </w:hyperlink>
    </w:p>
    <w:p w:rsidR="00783300" w:rsidRPr="005C2183" w:rsidRDefault="00783300" w:rsidP="00783300">
      <w:pPr>
        <w:pStyle w:val="Default"/>
        <w:spacing w:line="183" w:lineRule="atLeast"/>
        <w:jc w:val="both"/>
        <w:rPr>
          <w:rFonts w:ascii="Arial" w:hAnsi="Arial" w:cs="LucidaGrande"/>
          <w:i/>
          <w:color w:val="3366FF"/>
          <w:sz w:val="16"/>
          <w:lang w:val="fr-FR" w:eastAsia="fr-FR" w:bidi="fr-FR"/>
        </w:rPr>
      </w:pPr>
    </w:p>
    <w:p w:rsidR="00783300" w:rsidRPr="00E44BBD" w:rsidRDefault="00783300" w:rsidP="00783300">
      <w:pPr>
        <w:pStyle w:val="Footer"/>
        <w:jc w:val="center"/>
        <w:rPr>
          <w:b/>
          <w:i/>
          <w:sz w:val="18"/>
        </w:rPr>
      </w:pPr>
      <w:r w:rsidRPr="00E44BBD">
        <w:rPr>
          <w:b/>
          <w:i/>
          <w:sz w:val="18"/>
        </w:rPr>
        <w:t>Revue d’</w:t>
      </w:r>
      <w:proofErr w:type="spellStart"/>
      <w:r w:rsidRPr="00E44BBD">
        <w:rPr>
          <w:b/>
          <w:i/>
          <w:sz w:val="18"/>
        </w:rPr>
        <w:t>Odonto-Stomatologie</w:t>
      </w:r>
      <w:proofErr w:type="spellEnd"/>
      <w:r w:rsidRPr="00E44BBD">
        <w:rPr>
          <w:b/>
          <w:i/>
          <w:sz w:val="18"/>
        </w:rPr>
        <w:t xml:space="preserve"> </w:t>
      </w:r>
      <w:r w:rsidRPr="00E44BBD">
        <w:rPr>
          <w:b/>
          <w:sz w:val="18"/>
        </w:rPr>
        <w:t>Février 2010 pp 32-36</w:t>
      </w:r>
    </w:p>
    <w:p w:rsidR="00783300" w:rsidRPr="005C2183" w:rsidRDefault="00783300" w:rsidP="0093132E">
      <w:pPr>
        <w:pStyle w:val="Footer"/>
        <w:jc w:val="center"/>
        <w:rPr>
          <w:rFonts w:ascii="Arial" w:hAnsi="Arial"/>
          <w:i/>
          <w:sz w:val="16"/>
        </w:rPr>
      </w:pPr>
      <w:proofErr w:type="gramStart"/>
      <w:r w:rsidRPr="00E44BBD">
        <w:rPr>
          <w:sz w:val="18"/>
        </w:rPr>
        <w:t>extrait</w:t>
      </w:r>
      <w:proofErr w:type="gramEnd"/>
      <w:r w:rsidRPr="00E44BBD">
        <w:rPr>
          <w:sz w:val="18"/>
        </w:rPr>
        <w:t xml:space="preserve"> de :</w:t>
      </w:r>
      <w:r w:rsidRPr="00E44BBD">
        <w:rPr>
          <w:b/>
          <w:sz w:val="18"/>
        </w:rPr>
        <w:t xml:space="preserve"> </w:t>
      </w:r>
      <w:proofErr w:type="spellStart"/>
      <w:r w:rsidRPr="00E44BBD">
        <w:rPr>
          <w:b/>
          <w:sz w:val="18"/>
        </w:rPr>
        <w:t>Cannac</w:t>
      </w:r>
      <w:proofErr w:type="spellEnd"/>
      <w:r w:rsidRPr="00E44BBD">
        <w:rPr>
          <w:b/>
          <w:sz w:val="18"/>
        </w:rPr>
        <w:t xml:space="preserve"> C, </w:t>
      </w:r>
      <w:proofErr w:type="spellStart"/>
      <w:r w:rsidRPr="00E44BBD">
        <w:rPr>
          <w:b/>
          <w:sz w:val="18"/>
        </w:rPr>
        <w:t>Viargues</w:t>
      </w:r>
      <w:proofErr w:type="spellEnd"/>
      <w:r w:rsidRPr="00E44BBD">
        <w:rPr>
          <w:b/>
          <w:sz w:val="18"/>
        </w:rPr>
        <w:t xml:space="preserve"> P, Dot D. L’écriture scientifique: approche et discussion. </w:t>
      </w:r>
      <w:proofErr w:type="spellStart"/>
      <w:r w:rsidRPr="00E44BBD">
        <w:rPr>
          <w:b/>
          <w:i/>
          <w:sz w:val="18"/>
        </w:rPr>
        <w:t>Rev</w:t>
      </w:r>
      <w:proofErr w:type="spellEnd"/>
      <w:r w:rsidRPr="00E44BBD">
        <w:rPr>
          <w:b/>
          <w:i/>
          <w:sz w:val="18"/>
        </w:rPr>
        <w:t xml:space="preserve"> </w:t>
      </w:r>
      <w:proofErr w:type="spellStart"/>
      <w:r w:rsidRPr="00E44BBD">
        <w:rPr>
          <w:b/>
          <w:i/>
          <w:sz w:val="18"/>
        </w:rPr>
        <w:t>Odont</w:t>
      </w:r>
      <w:proofErr w:type="spellEnd"/>
      <w:r w:rsidRPr="00E44BBD">
        <w:rPr>
          <w:b/>
          <w:i/>
          <w:sz w:val="18"/>
        </w:rPr>
        <w:t xml:space="preserve"> </w:t>
      </w:r>
      <w:proofErr w:type="spellStart"/>
      <w:r w:rsidRPr="00E44BBD">
        <w:rPr>
          <w:b/>
          <w:i/>
          <w:sz w:val="18"/>
        </w:rPr>
        <w:t>Stomat</w:t>
      </w:r>
      <w:proofErr w:type="spellEnd"/>
      <w:r w:rsidRPr="00E44BBD">
        <w:rPr>
          <w:b/>
          <w:i/>
          <w:sz w:val="18"/>
        </w:rPr>
        <w:t xml:space="preserve"> </w:t>
      </w:r>
      <w:r w:rsidRPr="00E44BBD">
        <w:rPr>
          <w:b/>
          <w:sz w:val="18"/>
        </w:rPr>
        <w:t>2010;39:3-75</w:t>
      </w:r>
    </w:p>
    <w:sectPr w:rsidR="00783300" w:rsidRPr="005C2183" w:rsidSect="0093132E">
      <w:footerReference w:type="default" r:id="rId10"/>
      <w:pgSz w:w="16834" w:h="11904" w:orient="landscape"/>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2E" w:rsidRDefault="0093132E">
      <w:r>
        <w:separator/>
      </w:r>
    </w:p>
  </w:endnote>
  <w:endnote w:type="continuationSeparator" w:id="0">
    <w:p w:rsidR="0093132E" w:rsidRDefault="00931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Grande">
    <w:altName w:val="Lucida Grand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2E" w:rsidRPr="00783300" w:rsidRDefault="0093132E" w:rsidP="00783300">
    <w:pPr>
      <w:pStyle w:val="Footer"/>
      <w:pBdr>
        <w:top w:val="single" w:sz="4" w:space="1" w:color="000000"/>
      </w:pBdr>
      <w:tabs>
        <w:tab w:val="clear" w:pos="4320"/>
        <w:tab w:val="clear" w:pos="8640"/>
        <w:tab w:val="right" w:pos="15390"/>
      </w:tabs>
      <w:rPr>
        <w:rFonts w:ascii="Arial" w:hAnsi="Arial" w:cs="Arial"/>
        <w:i/>
        <w:sz w:val="14"/>
        <w:szCs w:val="14"/>
      </w:rPr>
    </w:pPr>
    <w:r w:rsidRPr="00783300">
      <w:rPr>
        <w:rFonts w:ascii="Arial" w:hAnsi="Arial" w:cs="Arial"/>
        <w:i/>
        <w:sz w:val="14"/>
        <w:szCs w:val="14"/>
      </w:rPr>
      <w:t>Liste de contrôle CONSORT 2010</w:t>
    </w:r>
    <w:r>
      <w:rPr>
        <w:rFonts w:ascii="Arial" w:hAnsi="Arial" w:cs="Arial"/>
        <w:i/>
        <w:sz w:val="14"/>
        <w:szCs w:val="14"/>
      </w:rPr>
      <w:tab/>
      <w:t xml:space="preserve">Page </w:t>
    </w:r>
    <w:r w:rsidRPr="00783300">
      <w:rPr>
        <w:rFonts w:ascii="Arial" w:hAnsi="Arial" w:cs="Arial"/>
        <w:i/>
        <w:sz w:val="14"/>
        <w:szCs w:val="14"/>
      </w:rPr>
      <w:fldChar w:fldCharType="begin"/>
    </w:r>
    <w:r w:rsidRPr="00783300">
      <w:rPr>
        <w:rFonts w:ascii="Arial" w:hAnsi="Arial" w:cs="Arial"/>
        <w:i/>
        <w:sz w:val="14"/>
        <w:szCs w:val="14"/>
      </w:rPr>
      <w:instrText xml:space="preserve"> PAGE   \* MERGEFORMAT </w:instrText>
    </w:r>
    <w:r w:rsidRPr="00783300">
      <w:rPr>
        <w:rFonts w:ascii="Arial" w:hAnsi="Arial" w:cs="Arial"/>
        <w:i/>
        <w:sz w:val="14"/>
        <w:szCs w:val="14"/>
      </w:rPr>
      <w:fldChar w:fldCharType="separate"/>
    </w:r>
    <w:r w:rsidR="00EC2ADB">
      <w:rPr>
        <w:rFonts w:ascii="Arial" w:hAnsi="Arial" w:cs="Arial"/>
        <w:i/>
        <w:noProof/>
        <w:sz w:val="14"/>
        <w:szCs w:val="14"/>
      </w:rPr>
      <w:t>1</w:t>
    </w:r>
    <w:r w:rsidRPr="00783300">
      <w:rPr>
        <w:rFonts w:ascii="Arial" w:hAnsi="Arial" w:cs="Arial"/>
        <w:i/>
        <w:sz w:val="14"/>
        <w:szCs w:val="14"/>
      </w:rPr>
      <w:fldChar w:fldCharType="end"/>
    </w:r>
    <w:r w:rsidR="00EC2ADB">
      <w:rPr>
        <w:rFonts w:ascii="Arial" w:hAnsi="Arial" w:cs="Arial"/>
        <w:i/>
        <w:sz w:val="14"/>
        <w:szCs w:val="14"/>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2E" w:rsidRDefault="0093132E">
      <w:r>
        <w:separator/>
      </w:r>
    </w:p>
  </w:footnote>
  <w:footnote w:type="continuationSeparator" w:id="0">
    <w:p w:rsidR="0093132E" w:rsidRDefault="00931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C6EFA"/>
    <w:multiLevelType w:val="hybridMultilevel"/>
    <w:tmpl w:val="8BB2AE66"/>
    <w:lvl w:ilvl="0" w:tplc="2862B09E">
      <w:numFmt w:val="bullet"/>
      <w:lvlText w:val=""/>
      <w:lvlJc w:val="left"/>
      <w:pPr>
        <w:tabs>
          <w:tab w:val="num" w:pos="720"/>
        </w:tabs>
        <w:ind w:left="720" w:hanging="360"/>
      </w:pPr>
      <w:rPr>
        <w:rFonts w:ascii="Symbol" w:eastAsia="Times New Roman" w:hAnsi="Symbol" w:hint="default"/>
        <w:i w:val="0"/>
        <w:color w:val="auto"/>
        <w:w w:val="1"/>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CA" w:vendorID="6" w:dllVersion="2" w:checkStyle="1"/>
  <w:activeWritingStyle w:appName="MSWord" w:lang="fr-FR" w:vendorID="65" w:dllVersion="514" w:checkStyle="1"/>
  <w:proofState w:spelling="clean" w:grammar="clean"/>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BAF"/>
    <w:rsid w:val="00175A37"/>
    <w:rsid w:val="00783300"/>
    <w:rsid w:val="0093132E"/>
    <w:rsid w:val="00EC2A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basedOn w:val="DefaultParagraphFont"/>
    <w:rsid w:val="005C21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consort-statement/overview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b.medecine.univ-paris5.fr/moodle/course/view.php?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6526</CharactersWithSpaces>
  <SharedDoc>false</SharedDoc>
  <HLinks>
    <vt:vector size="12" baseType="variant">
      <vt:variant>
        <vt:i4>7405639</vt:i4>
      </vt:variant>
      <vt:variant>
        <vt:i4>3</vt:i4>
      </vt:variant>
      <vt:variant>
        <vt:i4>0</vt:i4>
      </vt:variant>
      <vt:variant>
        <vt:i4>5</vt:i4>
      </vt:variant>
      <vt:variant>
        <vt:lpwstr>http://eb.medecine.univ-paris5.fr/moodle/course/view.php?id=2</vt:lpwstr>
      </vt:variant>
      <vt:variant>
        <vt:lpwstr/>
      </vt:variant>
      <vt:variant>
        <vt:i4>3735562</vt:i4>
      </vt:variant>
      <vt:variant>
        <vt:i4>0</vt:i4>
      </vt:variant>
      <vt:variant>
        <vt:i4>0</vt:i4>
      </vt:variant>
      <vt:variant>
        <vt:i4>5</vt:i4>
      </vt:variant>
      <vt:variant>
        <vt:lpwstr>http://www.consort-statement.org/consort-statement/overview0/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marygauthier</cp:lastModifiedBy>
  <cp:revision>3</cp:revision>
  <cp:lastPrinted>2010-07-06T21:08:00Z</cp:lastPrinted>
  <dcterms:created xsi:type="dcterms:W3CDTF">2011-06-28T16:44:00Z</dcterms:created>
  <dcterms:modified xsi:type="dcterms:W3CDTF">2011-06-28T16:46:00Z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240883923</vt:i4>
  </property>
  <property fmtid="{D5CDD505-2E9C-101B-9397-08002B2CF9AE}" pid="3" name="_EmailSubject">
    <vt:lpwstr>03 Traduction Viargues - Prisma 2009</vt:lpwstr>
  </property>
  <property fmtid="{D5CDD505-2E9C-101B-9397-08002B2CF9AE}" pid="4" name="_AuthorEmail">
    <vt:lpwstr>ngampis.six@online.fr</vt:lpwstr>
  </property>
  <property fmtid="{D5CDD505-2E9C-101B-9397-08002B2CF9AE}" pid="5" name="_AuthorEmailDisplayName">
    <vt:lpwstr>Ngampis Six-Aksornprai</vt:lpwstr>
  </property>
  <property fmtid="{D5CDD505-2E9C-101B-9397-08002B2CF9AE}" pid="6" name="_ReviewingToolsShownOnce">
    <vt:lpwstr/>
  </property>
</Properties>
</file>